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70298B" w14:textId="77777777" w:rsidR="00B97F5E" w:rsidRPr="00B85E14" w:rsidRDefault="00B97F5E" w:rsidP="00950BFE">
      <w:pPr>
        <w:pStyle w:val="Title2"/>
        <w:spacing w:line="360" w:lineRule="auto"/>
        <w:jc w:val="both"/>
        <w:rPr>
          <w:b w:val="0"/>
        </w:rPr>
      </w:pPr>
      <w:bookmarkStart w:id="0" w:name="_GoBack"/>
      <w:bookmarkEnd w:id="0"/>
      <w:r w:rsidRPr="003526BA">
        <w:t>Optical optimization potential of Transparent Passivated Contacts in Silicon Solar Cells</w:t>
      </w:r>
    </w:p>
    <w:p w14:paraId="09F67452" w14:textId="77777777" w:rsidR="00B97F5E" w:rsidRPr="003E6F5D" w:rsidRDefault="00B97F5E" w:rsidP="00950BFE">
      <w:pPr>
        <w:pStyle w:val="Tableofcontents"/>
        <w:spacing w:line="360" w:lineRule="auto"/>
        <w:jc w:val="both"/>
      </w:pPr>
    </w:p>
    <w:p w14:paraId="4ED91174" w14:textId="77777777" w:rsidR="00B97F5E" w:rsidRPr="003526BA" w:rsidRDefault="00B97F5E" w:rsidP="00950BFE">
      <w:pPr>
        <w:pStyle w:val="AuthorsFull"/>
        <w:spacing w:line="360" w:lineRule="auto"/>
        <w:jc w:val="both"/>
      </w:pPr>
      <w:bookmarkStart w:id="1" w:name="_Hlk86823492"/>
      <w:r w:rsidRPr="003526BA">
        <w:t>Alexander Eberst*, Alexandr Zamchiy, Kaifu Qiu, Peter Winkel, Habtamu T. Gebrewold, Andreas Lambertz, Weiyuan Duan, Shenghao Li, Karsten Bittkau, Thomas Kirchartz, Uwe Rau, Kaining Ding</w:t>
      </w:r>
      <w:bookmarkEnd w:id="1"/>
    </w:p>
    <w:p w14:paraId="787F7AA9" w14:textId="77777777" w:rsidR="00B97F5E" w:rsidRPr="003526BA" w:rsidRDefault="00B97F5E" w:rsidP="00950BFE">
      <w:pPr>
        <w:pStyle w:val="Tableofcontents"/>
        <w:spacing w:line="360" w:lineRule="auto"/>
        <w:jc w:val="both"/>
      </w:pPr>
    </w:p>
    <w:p w14:paraId="4D919856" w14:textId="77777777" w:rsidR="00B97F5E" w:rsidRPr="003526BA" w:rsidRDefault="00B97F5E" w:rsidP="00950BFE">
      <w:pPr>
        <w:pStyle w:val="Addresses"/>
        <w:spacing w:line="360" w:lineRule="auto"/>
        <w:jc w:val="both"/>
      </w:pPr>
      <w:r w:rsidRPr="003526BA">
        <w:t xml:space="preserve">Alexander Eberst, Kaifu Qiu, Peter Winkel, Habtamu T. </w:t>
      </w:r>
      <w:r w:rsidRPr="00B85E14">
        <w:t>Gebrewold,</w:t>
      </w:r>
      <w:r w:rsidRPr="003E6F5D">
        <w:t xml:space="preserve"> Andreas Lambertz, Weiyuan Duan, Shenghao Li, Kars</w:t>
      </w:r>
      <w:r w:rsidRPr="003526BA">
        <w:t>ten Bittkau, Thomas Kirchartz, Uwe Rau, Kaining Ding</w:t>
      </w:r>
    </w:p>
    <w:p w14:paraId="658DE74B" w14:textId="77777777" w:rsidR="00B97F5E" w:rsidRPr="003526BA" w:rsidRDefault="00B97F5E" w:rsidP="00950BFE">
      <w:pPr>
        <w:pStyle w:val="Addresses"/>
        <w:spacing w:line="360" w:lineRule="auto"/>
        <w:jc w:val="both"/>
        <w:rPr>
          <w:lang w:val="de-DE"/>
        </w:rPr>
      </w:pPr>
      <w:r w:rsidRPr="003526BA">
        <w:rPr>
          <w:lang w:val="de-DE"/>
        </w:rPr>
        <w:t>IEK-5 Photovoltaics, Forschungszentrum Jülich GmbH, 52425 Jülich, Germany</w:t>
      </w:r>
    </w:p>
    <w:p w14:paraId="0FEF101A" w14:textId="77777777" w:rsidR="00B97F5E" w:rsidRPr="003526BA" w:rsidRDefault="00B97F5E" w:rsidP="00950BFE">
      <w:pPr>
        <w:pStyle w:val="Addresses"/>
        <w:spacing w:line="360" w:lineRule="auto"/>
        <w:jc w:val="both"/>
        <w:rPr>
          <w:lang w:val="de-DE"/>
        </w:rPr>
      </w:pPr>
      <w:r w:rsidRPr="003526BA">
        <w:rPr>
          <w:lang w:val="de-DE"/>
        </w:rPr>
        <w:t>E-Mail: a.eberst@fz-juelich.de</w:t>
      </w:r>
    </w:p>
    <w:p w14:paraId="61495F7A" w14:textId="77777777" w:rsidR="00B97F5E" w:rsidRPr="003526BA" w:rsidRDefault="00B97F5E" w:rsidP="00950BFE">
      <w:pPr>
        <w:pStyle w:val="Addresses"/>
        <w:spacing w:line="360" w:lineRule="auto"/>
        <w:jc w:val="both"/>
        <w:rPr>
          <w:lang w:val="de-DE"/>
        </w:rPr>
      </w:pPr>
    </w:p>
    <w:p w14:paraId="56E0C7B3" w14:textId="77777777" w:rsidR="00B97F5E" w:rsidRPr="00B85E14" w:rsidRDefault="00B97F5E" w:rsidP="00950BFE">
      <w:pPr>
        <w:pStyle w:val="Addresses"/>
        <w:spacing w:line="360" w:lineRule="auto"/>
        <w:jc w:val="both"/>
        <w:rPr>
          <w:lang w:val="de-DE"/>
        </w:rPr>
      </w:pPr>
      <w:r w:rsidRPr="00B85E14">
        <w:rPr>
          <w:lang w:val="de-DE"/>
        </w:rPr>
        <w:t>Alexander Eberst, Peter Winkel, H</w:t>
      </w:r>
      <w:r w:rsidRPr="003E6F5D">
        <w:rPr>
          <w:lang w:val="de-DE"/>
        </w:rPr>
        <w:t>abtamu T. Gebrewold</w:t>
      </w:r>
      <w:r w:rsidRPr="003526BA">
        <w:rPr>
          <w:lang w:val="de-DE"/>
        </w:rPr>
        <w:t>, Uwe Rau</w:t>
      </w:r>
    </w:p>
    <w:p w14:paraId="085A0BF3" w14:textId="77777777" w:rsidR="00B97F5E" w:rsidRPr="003526BA" w:rsidRDefault="00B97F5E" w:rsidP="00950BFE">
      <w:pPr>
        <w:pStyle w:val="Addresses"/>
        <w:spacing w:line="360" w:lineRule="auto"/>
        <w:jc w:val="both"/>
        <w:rPr>
          <w:lang w:val="en-GB"/>
        </w:rPr>
      </w:pPr>
      <w:r w:rsidRPr="003E6F5D">
        <w:rPr>
          <w:lang w:val="en-GB"/>
        </w:rPr>
        <w:t>Faculty of Electrical Engineering and Information Technology, RWTH Aachen University 52074 Aachen, Germany</w:t>
      </w:r>
    </w:p>
    <w:p w14:paraId="01892EAA" w14:textId="77777777" w:rsidR="00B97F5E" w:rsidRPr="003526BA" w:rsidRDefault="00B97F5E" w:rsidP="00950BFE">
      <w:pPr>
        <w:pStyle w:val="Addresses"/>
        <w:spacing w:line="360" w:lineRule="auto"/>
        <w:jc w:val="both"/>
        <w:rPr>
          <w:lang w:val="en-GB"/>
        </w:rPr>
      </w:pPr>
    </w:p>
    <w:p w14:paraId="06CFEAE1" w14:textId="77777777" w:rsidR="00B97F5E" w:rsidRPr="003526BA" w:rsidRDefault="00B97F5E" w:rsidP="00950BFE">
      <w:pPr>
        <w:pStyle w:val="Addresses"/>
        <w:spacing w:line="360" w:lineRule="auto"/>
        <w:jc w:val="both"/>
        <w:rPr>
          <w:lang w:val="en-GB"/>
        </w:rPr>
      </w:pPr>
      <w:r w:rsidRPr="003526BA">
        <w:rPr>
          <w:lang w:val="en-GB"/>
        </w:rPr>
        <w:t>Alexandr Zamchiy</w:t>
      </w:r>
    </w:p>
    <w:p w14:paraId="71727947" w14:textId="77777777" w:rsidR="00B97F5E" w:rsidRPr="003526BA" w:rsidRDefault="00B97F5E" w:rsidP="00950BFE">
      <w:pPr>
        <w:pStyle w:val="Addresses"/>
        <w:spacing w:line="360" w:lineRule="auto"/>
        <w:jc w:val="both"/>
      </w:pPr>
      <w:r w:rsidRPr="003526BA">
        <w:t>Novosibirsk State University, 630090, Novosibirsk, Russia</w:t>
      </w:r>
    </w:p>
    <w:p w14:paraId="4FA37F55" w14:textId="77777777" w:rsidR="00B97F5E" w:rsidRPr="003526BA" w:rsidRDefault="00B97F5E" w:rsidP="00950BFE">
      <w:pPr>
        <w:pStyle w:val="Addresses"/>
        <w:spacing w:line="360" w:lineRule="auto"/>
        <w:jc w:val="both"/>
      </w:pPr>
    </w:p>
    <w:p w14:paraId="4E58BCB7" w14:textId="77777777" w:rsidR="00B97F5E" w:rsidRPr="003526BA" w:rsidRDefault="00B97F5E" w:rsidP="00950BFE">
      <w:pPr>
        <w:pStyle w:val="Addresses"/>
        <w:spacing w:line="360" w:lineRule="auto"/>
        <w:jc w:val="both"/>
      </w:pPr>
      <w:r w:rsidRPr="003526BA">
        <w:t>Alexandr Zamchiy</w:t>
      </w:r>
    </w:p>
    <w:p w14:paraId="3D4C9458" w14:textId="77777777" w:rsidR="00B97F5E" w:rsidRPr="003526BA" w:rsidRDefault="00B97F5E" w:rsidP="00950BFE">
      <w:pPr>
        <w:pStyle w:val="Addresses"/>
        <w:spacing w:line="360" w:lineRule="auto"/>
        <w:jc w:val="both"/>
        <w:rPr>
          <w:lang w:val="en-GB"/>
        </w:rPr>
      </w:pPr>
      <w:r w:rsidRPr="003526BA">
        <w:rPr>
          <w:lang w:val="en-GB"/>
        </w:rPr>
        <w:t>Kutateladze Institute of Thermophysics SB RAS, 630090, Novosibirsk, Russia</w:t>
      </w:r>
    </w:p>
    <w:p w14:paraId="3DE3C1F8" w14:textId="77777777" w:rsidR="00B97F5E" w:rsidRPr="003526BA" w:rsidRDefault="00B97F5E" w:rsidP="00950BFE">
      <w:pPr>
        <w:pStyle w:val="Addresses"/>
        <w:spacing w:line="360" w:lineRule="auto"/>
        <w:jc w:val="both"/>
      </w:pPr>
    </w:p>
    <w:p w14:paraId="6595244D" w14:textId="77777777" w:rsidR="00B97F5E" w:rsidRPr="003526BA" w:rsidRDefault="00B97F5E" w:rsidP="00950BFE">
      <w:pPr>
        <w:pStyle w:val="Addresses"/>
        <w:spacing w:line="360" w:lineRule="auto"/>
        <w:jc w:val="both"/>
      </w:pPr>
      <w:r w:rsidRPr="003526BA">
        <w:t>Kaifu Qiu</w:t>
      </w:r>
    </w:p>
    <w:p w14:paraId="259E9CAE" w14:textId="77777777" w:rsidR="00B97F5E" w:rsidRPr="003526BA" w:rsidRDefault="00B97F5E" w:rsidP="00950BFE">
      <w:pPr>
        <w:pStyle w:val="Addresses"/>
        <w:spacing w:line="360" w:lineRule="auto"/>
        <w:jc w:val="both"/>
      </w:pPr>
      <w:r w:rsidRPr="003526BA">
        <w:t>Institute for Solar Energy Systems, Guangdong Provincial Key Laboratory of Photovoltaic Technology, School of Physics, Sun Yat-Sen University, Guangzhou, 510275, PR China</w:t>
      </w:r>
    </w:p>
    <w:p w14:paraId="50ED789B" w14:textId="77777777" w:rsidR="00B97F5E" w:rsidRPr="003526BA" w:rsidRDefault="00B97F5E" w:rsidP="00950BFE">
      <w:pPr>
        <w:spacing w:line="360" w:lineRule="auto"/>
        <w:jc w:val="both"/>
        <w:rPr>
          <w:lang w:val="en-US"/>
        </w:rPr>
      </w:pPr>
    </w:p>
    <w:p w14:paraId="4138B165" w14:textId="77777777" w:rsidR="00B97F5E" w:rsidRPr="00B85E14" w:rsidRDefault="00B97F5E" w:rsidP="00B85E14">
      <w:pPr>
        <w:pStyle w:val="Addresses"/>
        <w:spacing w:line="360" w:lineRule="auto"/>
        <w:jc w:val="both"/>
      </w:pPr>
      <w:r w:rsidRPr="00B85E14">
        <w:t>T. Kirchartz</w:t>
      </w:r>
    </w:p>
    <w:p w14:paraId="36FA366D" w14:textId="77777777" w:rsidR="00B97F5E" w:rsidRPr="00B85E14" w:rsidRDefault="00B97F5E" w:rsidP="00B85E14">
      <w:pPr>
        <w:pStyle w:val="Addresses"/>
        <w:spacing w:line="360" w:lineRule="auto"/>
        <w:jc w:val="both"/>
      </w:pPr>
      <w:r w:rsidRPr="00B85E14">
        <w:lastRenderedPageBreak/>
        <w:t>Faculty of Engineering and CENIDE, University of Duisburg-Essen, Carl-Benz-Str. 199, 47057 Duisburg, Germany</w:t>
      </w:r>
    </w:p>
    <w:p w14:paraId="3806B90F" w14:textId="77777777" w:rsidR="00B97F5E" w:rsidRPr="003526BA" w:rsidRDefault="00B97F5E" w:rsidP="00950BFE">
      <w:pPr>
        <w:spacing w:line="360" w:lineRule="auto"/>
        <w:jc w:val="both"/>
        <w:rPr>
          <w:lang w:val="en-US"/>
        </w:rPr>
      </w:pPr>
    </w:p>
    <w:p w14:paraId="74F63688" w14:textId="77777777" w:rsidR="00B97F5E" w:rsidRPr="003526BA" w:rsidRDefault="00B97F5E" w:rsidP="00950BFE">
      <w:pPr>
        <w:spacing w:line="360" w:lineRule="auto"/>
        <w:jc w:val="both"/>
        <w:rPr>
          <w:lang w:val="en-US"/>
        </w:rPr>
      </w:pPr>
      <w:r w:rsidRPr="003526BA">
        <w:rPr>
          <w:bCs/>
          <w:lang w:val="en-US"/>
        </w:rPr>
        <w:t xml:space="preserve">Keywords: </w:t>
      </w:r>
      <w:r w:rsidRPr="003526BA">
        <w:rPr>
          <w:rFonts w:eastAsia="MS Gothic"/>
          <w:lang w:val="en-US"/>
        </w:rPr>
        <w:t>anti-reflective coatings, magnesium fluorides, passivating contacts, silicon carbides, silicon solar cells</w:t>
      </w:r>
    </w:p>
    <w:p w14:paraId="2497078E" w14:textId="77777777" w:rsidR="00B97F5E" w:rsidRPr="003526BA" w:rsidRDefault="00B97F5E" w:rsidP="00950BFE">
      <w:pPr>
        <w:spacing w:line="360" w:lineRule="auto"/>
        <w:jc w:val="both"/>
        <w:rPr>
          <w:lang w:val="en-US"/>
        </w:rPr>
      </w:pPr>
    </w:p>
    <w:p w14:paraId="510987B6" w14:textId="77777777" w:rsidR="00B97F5E" w:rsidRPr="003526BA" w:rsidRDefault="00B97F5E" w:rsidP="0009478F">
      <w:pPr>
        <w:pStyle w:val="Abstract"/>
      </w:pPr>
      <w:r w:rsidRPr="003526BA">
        <w:t>We present an optical loss analysis of the recently introduced silicon carbide-based transparent passivating contact for silicon heterojunction solar cells, identify the most dominant losses and discuss the potential for reducing these losses. Magnesium fluoride is applied as anti-reflective coating to reduce the reflective losses by up to 0.8 mA/cm². When applying the magnesium fluoride, the passivation quality of the layer stack degrades, but is restored after annealing on a hot plate in ambient air. Afterwards, we present and discuss a roadmap for transparent passivating contact solar cells towards an efficiency of 25%. The largest part in efficiency gain is achieved by reducing the finger width and by increasing the passivation quality. Furthermore, we show that transparent passivating contact solar cells have the potential to achieve short-circuit current densities above 42 mA/cm² if the finger width is reduced and the front-side ITO layer can be replaced by an ITO-silicon nitride double layer.</w:t>
      </w:r>
    </w:p>
    <w:p w14:paraId="75A822A3" w14:textId="77777777" w:rsidR="00B97F5E" w:rsidRPr="003526BA" w:rsidRDefault="00B97F5E" w:rsidP="00950BFE">
      <w:pPr>
        <w:spacing w:line="360" w:lineRule="auto"/>
        <w:jc w:val="both"/>
        <w:rPr>
          <w:lang w:val="en-US"/>
        </w:rPr>
      </w:pPr>
    </w:p>
    <w:p w14:paraId="4E45B908" w14:textId="77777777" w:rsidR="00B97F5E" w:rsidRPr="003526BA" w:rsidRDefault="00B97F5E">
      <w:pPr>
        <w:pStyle w:val="Head1"/>
      </w:pPr>
      <w:r w:rsidRPr="003526BA">
        <w:t>1. Introduction</w:t>
      </w:r>
    </w:p>
    <w:p w14:paraId="63D83E72" w14:textId="77777777" w:rsidR="00B97F5E" w:rsidRPr="003E6F5D" w:rsidRDefault="00B97F5E" w:rsidP="00950BFE">
      <w:pPr>
        <w:spacing w:line="360" w:lineRule="auto"/>
        <w:jc w:val="both"/>
        <w:rPr>
          <w:lang w:val="en-GB"/>
        </w:rPr>
      </w:pPr>
      <w:r w:rsidRPr="003526BA">
        <w:rPr>
          <w:lang w:val="en-GB"/>
        </w:rPr>
        <w:t>To keep the rise in efficiency of crystalline silicon (c-Si) solar cells going, a multitude of approaches are currently under investigation to realize the combination of spatial separation of the metal contacts from the silicon wafer and effective passivation of the c-Si surface, while also maximizing the incident light and keeping good contact properties. Promising approaches are the use of either polycrystalline silicon (poly-Si)</w:t>
      </w:r>
      <w:r w:rsidRPr="003526BA">
        <w:rPr>
          <w:noProof/>
          <w:vertAlign w:val="superscript"/>
          <w:lang w:val="en-GB"/>
        </w:rPr>
        <w:t>[1]</w:t>
      </w:r>
      <w:r w:rsidRPr="003E6F5D">
        <w:rPr>
          <w:lang w:val="en-GB"/>
        </w:rPr>
        <w:t xml:space="preserve"> or hydrogenated amorphous silicon (a-Si:H)</w:t>
      </w:r>
      <w:r w:rsidRPr="003526BA">
        <w:rPr>
          <w:noProof/>
          <w:vertAlign w:val="superscript"/>
          <w:lang w:val="en-GB"/>
        </w:rPr>
        <w:t>[2]</w:t>
      </w:r>
      <w:r w:rsidRPr="003E6F5D">
        <w:rPr>
          <w:lang w:val="en-GB"/>
        </w:rPr>
        <w:t xml:space="preserve">, called silicon heterojunction (SHJ), for passivation and charge carrier extraction purposes. Due to the </w:t>
      </w:r>
      <w:r w:rsidRPr="003526BA">
        <w:rPr>
          <w:lang w:val="en-GB"/>
        </w:rPr>
        <w:t xml:space="preserve">absorption coefficient </w:t>
      </w:r>
      <w:r w:rsidRPr="003E6F5D">
        <w:rPr>
          <w:lang w:val="en-GB"/>
        </w:rPr>
        <w:t xml:space="preserve">of these materials being </w:t>
      </w:r>
      <w:r w:rsidRPr="003526BA">
        <w:rPr>
          <w:lang w:val="en-GB"/>
        </w:rPr>
        <w:t xml:space="preserve">similar to that one of crystalline </w:t>
      </w:r>
      <w:r w:rsidRPr="003526BA">
        <w:rPr>
          <w:lang w:val="en-GB"/>
        </w:rPr>
        <w:lastRenderedPageBreak/>
        <w:t>silicon (c-Si), one severe limitation in these approaches is the large loss of incident light in these layers, called parasitic absorption</w:t>
      </w:r>
      <w:r w:rsidRPr="003526BA">
        <w:rPr>
          <w:noProof/>
          <w:vertAlign w:val="superscript"/>
          <w:lang w:val="en-GB"/>
        </w:rPr>
        <w:t>[3, 4]</w:t>
      </w:r>
      <w:r w:rsidRPr="003E6F5D">
        <w:rPr>
          <w:lang w:val="en-GB"/>
        </w:rPr>
        <w:t xml:space="preserve">, and thus a limited short-circuit current density </w:t>
      </w:r>
      <w:r w:rsidRPr="003526BA">
        <w:rPr>
          <w:i/>
          <w:iCs/>
          <w:lang w:val="en-GB"/>
        </w:rPr>
        <w:t>J</w:t>
      </w:r>
      <w:r w:rsidRPr="00B85E14">
        <w:rPr>
          <w:vertAlign w:val="subscript"/>
          <w:lang w:val="en-GB"/>
        </w:rPr>
        <w:t>SC</w:t>
      </w:r>
      <w:r w:rsidRPr="003E6F5D">
        <w:rPr>
          <w:lang w:val="en-GB"/>
        </w:rPr>
        <w:t>. This parasitic absorption could be mitigated by the so-called Interdigitated Back Contact (IBC)</w:t>
      </w:r>
      <w:r w:rsidRPr="003526BA">
        <w:rPr>
          <w:lang w:val="en-GB"/>
        </w:rPr>
        <w:t xml:space="preserve"> approach, where both the electron and hole contact are placed on the not-illuminated rear side of the c-Si. By using this structure, the incident light is maximized and the parasitic absorption minimized, but the fabrication process of IBC cells is more complex.</w:t>
      </w:r>
      <w:r w:rsidRPr="003526BA">
        <w:rPr>
          <w:noProof/>
          <w:vertAlign w:val="superscript"/>
          <w:lang w:val="en-GB"/>
        </w:rPr>
        <w:t>[5-7]</w:t>
      </w:r>
    </w:p>
    <w:p w14:paraId="79E093BF" w14:textId="77777777" w:rsidR="00B97F5E" w:rsidRPr="003E6F5D" w:rsidRDefault="00B97F5E" w:rsidP="00950BFE">
      <w:pPr>
        <w:spacing w:line="360" w:lineRule="auto"/>
        <w:jc w:val="both"/>
        <w:rPr>
          <w:lang w:val="en-GB"/>
        </w:rPr>
      </w:pPr>
      <w:r w:rsidRPr="003526BA">
        <w:rPr>
          <w:lang w:val="en-GB"/>
        </w:rPr>
        <w:t xml:space="preserve">To keep the contacts at the illuminated side of the cell and thus the fabrication process simpler, a broad spectrum of materials is currently under investigation to fulfil the initially mentioned criteria. Metal compounds like zinc oxide </w:t>
      </w:r>
      <w:r w:rsidRPr="003E6F5D">
        <w:rPr>
          <w:lang w:val="en-GB"/>
        </w:rPr>
        <w:t>or molybdenum oxide</w:t>
      </w:r>
      <w:r w:rsidRPr="003526BA">
        <w:rPr>
          <w:noProof/>
          <w:vertAlign w:val="superscript"/>
          <w:lang w:val="en-GB"/>
        </w:rPr>
        <w:t>[8]</w:t>
      </w:r>
      <w:r w:rsidRPr="003E6F5D">
        <w:rPr>
          <w:lang w:val="en-GB"/>
        </w:rPr>
        <w:t xml:space="preserve"> or different silicon-based materials like microcrystalline silicon</w:t>
      </w:r>
      <w:r w:rsidRPr="003526BA">
        <w:rPr>
          <w:noProof/>
          <w:vertAlign w:val="superscript"/>
          <w:lang w:val="en-GB"/>
        </w:rPr>
        <w:t>[9, 10]</w:t>
      </w:r>
      <w:r w:rsidRPr="003E6F5D">
        <w:rPr>
          <w:lang w:val="en-GB"/>
        </w:rPr>
        <w:t xml:space="preserve"> </w:t>
      </w:r>
      <w:r w:rsidRPr="003526BA">
        <w:rPr>
          <w:lang w:val="en-GB"/>
        </w:rPr>
        <w:t>are promising approaches</w:t>
      </w:r>
      <w:r w:rsidRPr="003E6F5D">
        <w:rPr>
          <w:lang w:val="en-GB"/>
        </w:rPr>
        <w:t xml:space="preserve">. Another silicon-based, highly transparent material is </w:t>
      </w:r>
      <w:r w:rsidRPr="003526BA">
        <w:rPr>
          <w:lang w:val="en-GB"/>
        </w:rPr>
        <w:t xml:space="preserve">hydrogenated nanocrystalline silicon carbide (nc-SiC:H), which was recently introduced in a contact scheme called transparent passivating contact </w:t>
      </w:r>
      <w:r w:rsidRPr="003E6F5D">
        <w:rPr>
          <w:lang w:val="en-GB"/>
        </w:rPr>
        <w:t>(TPC)</w:t>
      </w:r>
      <w:r w:rsidRPr="003526BA">
        <w:rPr>
          <w:noProof/>
          <w:vertAlign w:val="superscript"/>
          <w:lang w:val="en-GB"/>
        </w:rPr>
        <w:t>[11]</w:t>
      </w:r>
      <w:r w:rsidRPr="003E6F5D">
        <w:rPr>
          <w:lang w:val="en-GB"/>
        </w:rPr>
        <w:t>. The TPC combines a thin</w:t>
      </w:r>
      <w:r w:rsidRPr="003526BA">
        <w:rPr>
          <w:lang w:val="en-GB"/>
        </w:rPr>
        <w:t xml:space="preserve"> wet-chemically grown silicon oxide as tunnel oxide</w:t>
      </w:r>
      <w:r w:rsidRPr="003526BA">
        <w:rPr>
          <w:noProof/>
          <w:vertAlign w:val="superscript"/>
          <w:lang w:val="en-GB"/>
        </w:rPr>
        <w:t>[12, 13]</w:t>
      </w:r>
      <w:r w:rsidRPr="003E6F5D">
        <w:rPr>
          <w:lang w:val="en-GB"/>
        </w:rPr>
        <w:t xml:space="preserve"> with a nitrogen-doped nc-SiC:H double-layer to achieve a hi</w:t>
      </w:r>
      <w:r w:rsidRPr="003526BA">
        <w:rPr>
          <w:lang w:val="en-GB"/>
        </w:rPr>
        <w:t>gh transparency in combination with excellent passivation, leading to a certified efficiency of 23.8% without an additional anti-reflective coating and 24.0% efficiency with said coating</w:t>
      </w:r>
      <w:r w:rsidRPr="003526BA">
        <w:rPr>
          <w:noProof/>
          <w:vertAlign w:val="superscript"/>
          <w:lang w:val="en-GB"/>
        </w:rPr>
        <w:t>[11]</w:t>
      </w:r>
      <w:r w:rsidRPr="003E6F5D">
        <w:rPr>
          <w:lang w:val="en-GB"/>
        </w:rPr>
        <w:t>.</w:t>
      </w:r>
      <w:r w:rsidRPr="003526BA">
        <w:rPr>
          <w:lang w:val="en-GB"/>
        </w:rPr>
        <w:t xml:space="preserve"> Additionally, the fabrication process of the TPC is very lean.</w:t>
      </w:r>
      <w:r w:rsidRPr="003526BA">
        <w:rPr>
          <w:noProof/>
          <w:vertAlign w:val="superscript"/>
          <w:lang w:val="en-GB"/>
        </w:rPr>
        <w:t>[14]</w:t>
      </w:r>
    </w:p>
    <w:p w14:paraId="3790FBA6" w14:textId="77777777" w:rsidR="00B97F5E" w:rsidRPr="003E6F5D" w:rsidRDefault="00B97F5E" w:rsidP="00950BFE">
      <w:pPr>
        <w:spacing w:line="360" w:lineRule="auto"/>
        <w:jc w:val="both"/>
        <w:rPr>
          <w:lang w:val="en-GB"/>
        </w:rPr>
      </w:pPr>
      <w:r w:rsidRPr="003526BA">
        <w:rPr>
          <w:lang w:val="en-GB"/>
        </w:rPr>
        <w:t>This work focusses on the optical losses of the certified 23.8% efficiency TPC cell and identifies its mayor contributors. After the optical losses are identified, an in-depth analysis beyond the previous study</w:t>
      </w:r>
      <w:r w:rsidRPr="003526BA">
        <w:rPr>
          <w:noProof/>
          <w:vertAlign w:val="superscript"/>
          <w:lang w:val="en-GB"/>
        </w:rPr>
        <w:t>[11]</w:t>
      </w:r>
      <w:r w:rsidRPr="003E6F5D">
        <w:rPr>
          <w:lang w:val="en-GB"/>
        </w:rPr>
        <w:t xml:space="preserve"> of the influence of MgF</w:t>
      </w:r>
      <w:r w:rsidRPr="003526BA">
        <w:rPr>
          <w:vertAlign w:val="subscript"/>
          <w:lang w:val="en-GB"/>
        </w:rPr>
        <w:t>2</w:t>
      </w:r>
      <w:r w:rsidRPr="003526BA">
        <w:rPr>
          <w:lang w:val="en-GB"/>
        </w:rPr>
        <w:t xml:space="preserve"> as anti-reflective coating is presented. We discuss the problems </w:t>
      </w:r>
      <w:r w:rsidRPr="003E6F5D">
        <w:rPr>
          <w:lang w:val="en-GB"/>
        </w:rPr>
        <w:t xml:space="preserve">and </w:t>
      </w:r>
      <w:r w:rsidRPr="003526BA">
        <w:rPr>
          <w:lang w:val="en-GB"/>
        </w:rPr>
        <w:t xml:space="preserve">present a possible solution, leading to the certified efficiency of 24.0%. In the following, we give a possible pathway to achieve efficiencies of 25% using TPC and elaborate on the potential of the TPC to reach a </w:t>
      </w:r>
      <w:r w:rsidRPr="003526BA">
        <w:rPr>
          <w:i/>
          <w:iCs/>
          <w:lang w:val="en-GB"/>
        </w:rPr>
        <w:t>J</w:t>
      </w:r>
      <w:r w:rsidRPr="00B85E14">
        <w:rPr>
          <w:vertAlign w:val="subscript"/>
          <w:lang w:val="en-GB"/>
        </w:rPr>
        <w:t>SC</w:t>
      </w:r>
      <w:r w:rsidRPr="003E6F5D">
        <w:rPr>
          <w:lang w:val="en-GB"/>
        </w:rPr>
        <w:t xml:space="preserve"> </w:t>
      </w:r>
      <w:r w:rsidRPr="003526BA">
        <w:rPr>
          <w:lang w:val="en-GB"/>
        </w:rPr>
        <w:t>of 42 mA/cm².</w:t>
      </w:r>
    </w:p>
    <w:p w14:paraId="5012F37C" w14:textId="77777777" w:rsidR="00B97F5E" w:rsidRPr="003526BA" w:rsidRDefault="00B97F5E" w:rsidP="00950BFE">
      <w:pPr>
        <w:spacing w:line="360" w:lineRule="auto"/>
        <w:jc w:val="both"/>
        <w:rPr>
          <w:bCs/>
          <w:lang w:val="en-US"/>
        </w:rPr>
      </w:pPr>
    </w:p>
    <w:p w14:paraId="0213B045" w14:textId="77777777" w:rsidR="00B97F5E" w:rsidRPr="003526BA" w:rsidRDefault="00B97F5E">
      <w:pPr>
        <w:pStyle w:val="Head1"/>
      </w:pPr>
      <w:r w:rsidRPr="003526BA">
        <w:t>2. Optical properties and losses in the TPC cell</w:t>
      </w:r>
    </w:p>
    <w:p w14:paraId="485E00D6" w14:textId="77777777" w:rsidR="00B97F5E" w:rsidRPr="003526BA" w:rsidRDefault="00B97F5E">
      <w:pPr>
        <w:pStyle w:val="Head1"/>
      </w:pPr>
    </w:p>
    <w:p w14:paraId="5952ED4E" w14:textId="77777777" w:rsidR="00B97F5E" w:rsidRPr="003526BA" w:rsidRDefault="00B97F5E">
      <w:pPr>
        <w:pStyle w:val="Head1"/>
      </w:pPr>
      <w:r w:rsidRPr="003526BA">
        <w:lastRenderedPageBreak/>
        <w:t>2.1. Optical Loss Analysis</w:t>
      </w:r>
    </w:p>
    <w:p w14:paraId="5D66B8D4" w14:textId="77777777" w:rsidR="00B97F5E" w:rsidRPr="003526BA" w:rsidRDefault="00B97F5E">
      <w:pPr>
        <w:pStyle w:val="Head1"/>
      </w:pPr>
      <w:r w:rsidRPr="003526BA">
        <w:rPr>
          <w:b/>
          <w:bCs/>
        </w:rPr>
        <w:t>Figure 1</w:t>
      </w:r>
      <w:r w:rsidRPr="003526BA">
        <w:t xml:space="preserve"> shows the optical loss analysis of the 23.8% TPC solar cell, as shown in </w:t>
      </w:r>
      <w:r w:rsidRPr="003526BA">
        <w:rPr>
          <w:b/>
          <w:bCs/>
        </w:rPr>
        <w:t>Figure S1</w:t>
      </w:r>
      <w:r w:rsidRPr="003526BA">
        <w:t>, without MgF</w:t>
      </w:r>
      <w:r w:rsidRPr="003526BA">
        <w:rPr>
          <w:vertAlign w:val="subscript"/>
        </w:rPr>
        <w:t>2</w:t>
      </w:r>
      <w:r w:rsidRPr="003526BA">
        <w:rPr>
          <w:noProof/>
          <w:vertAlign w:val="superscript"/>
        </w:rPr>
        <w:t>[11]</w:t>
      </w:r>
      <w:r w:rsidRPr="003526BA">
        <w:t xml:space="preserve"> according to </w:t>
      </w:r>
      <w:r w:rsidRPr="003526BA">
        <w:rPr>
          <w:lang w:val="en-GB"/>
        </w:rPr>
        <w:t>Paviet-Salomon</w:t>
      </w:r>
      <w:r w:rsidRPr="003526BA" w:rsidDel="00C84E2E">
        <w:t xml:space="preserve"> </w:t>
      </w:r>
      <w:r w:rsidRPr="00B85E14">
        <w:rPr>
          <w:i/>
          <w:iCs/>
        </w:rPr>
        <w:t>et al.</w:t>
      </w:r>
      <w:r w:rsidRPr="003526BA">
        <w:rPr>
          <w:noProof/>
          <w:vertAlign w:val="superscript"/>
        </w:rPr>
        <w:t>[15]</w:t>
      </w:r>
      <w:r w:rsidRPr="003526BA">
        <w:t>. For the loss analysis, we use in-house measured external quantum efficiency, reflectance (</w:t>
      </w:r>
      <w:r w:rsidRPr="003526BA">
        <w:rPr>
          <w:i/>
          <w:iCs/>
        </w:rPr>
        <w:t>R</w:t>
      </w:r>
      <w:r w:rsidRPr="00B85E14">
        <w:rPr>
          <w:vertAlign w:val="subscript"/>
        </w:rPr>
        <w:t>cell</w:t>
      </w:r>
      <w:r w:rsidRPr="003E6F5D">
        <w:t>) and transmission (</w:t>
      </w:r>
      <w:r w:rsidRPr="003526BA">
        <w:rPr>
          <w:i/>
          <w:iCs/>
        </w:rPr>
        <w:t>T</w:t>
      </w:r>
      <w:r w:rsidRPr="00B85E14">
        <w:rPr>
          <w:vertAlign w:val="subscript"/>
        </w:rPr>
        <w:t>cell</w:t>
      </w:r>
      <w:r w:rsidRPr="003526BA">
        <w:t xml:space="preserve">) curves of the cell, as well as reflectance curves which </w:t>
      </w:r>
      <w:r w:rsidRPr="00B85E14">
        <w:t>we</w:t>
      </w:r>
      <w:r w:rsidRPr="003E6F5D">
        <w:t xml:space="preserve"> </w:t>
      </w:r>
      <w:r w:rsidRPr="003526BA">
        <w:t>simulate using the online tool OPAL2 (</w:t>
      </w:r>
      <w:r w:rsidRPr="003526BA">
        <w:rPr>
          <w:i/>
          <w:iCs/>
        </w:rPr>
        <w:t>R</w:t>
      </w:r>
      <w:r w:rsidRPr="00B85E14">
        <w:rPr>
          <w:vertAlign w:val="subscript"/>
        </w:rPr>
        <w:t>OPAL2</w:t>
      </w:r>
      <w:r w:rsidRPr="003E6F5D">
        <w:t xml:space="preserve">). </w:t>
      </w:r>
      <w:r w:rsidRPr="003526BA">
        <w:t>We calculate the losses from finger shading from the finger geometry, as explained in the Supporting Information. While the absorption losses in the near infrared wavelength regime (2.4 mA/cm²) and the losses from finger shading (1.5 mA/cm²) are the most severe ones, the</w:t>
      </w:r>
      <w:r w:rsidRPr="003526BA">
        <w:rPr>
          <w:rFonts w:eastAsia="Times New Roman"/>
          <w:sz w:val="20"/>
          <w:szCs w:val="20"/>
        </w:rPr>
        <w:t xml:space="preserve"> </w:t>
      </w:r>
      <w:r w:rsidRPr="003526BA">
        <w:t xml:space="preserve">losses from front surface escape (1.1 mA/cm²) and reflection (0.8 mA/cm²), as well as the other wavelength dependent losses in the blue wavelength regime (0.6 mA/cm²) and intermediate wavelength regime (0.1 mA/cm²), also play a big role in reducing the </w:t>
      </w:r>
      <w:r w:rsidRPr="003526BA">
        <w:rPr>
          <w:i/>
        </w:rPr>
        <w:t>J</w:t>
      </w:r>
      <w:r w:rsidRPr="003526BA">
        <w:rPr>
          <w:vertAlign w:val="subscript"/>
        </w:rPr>
        <w:t>SC</w:t>
      </w:r>
      <w:r w:rsidRPr="003526BA">
        <w:t>. No losses from transmission through the cell occur due to the fully metalized rear side of the cell.</w:t>
      </w:r>
    </w:p>
    <w:p w14:paraId="48CD81A5" w14:textId="1D61628F" w:rsidR="00B97F5E" w:rsidRPr="0093187C" w:rsidRDefault="00B97F5E">
      <w:pPr>
        <w:pStyle w:val="Head1"/>
      </w:pPr>
      <w:r w:rsidRPr="003526BA">
        <w:t>While most of these losses are complicated to reduce since other solar cell parameters will also be influenced when changing the corresponding properties, we show how to reduce the reflection losses with a straightforward approach, which is to introduce an additional anti-reflective coating layer which reduces the refractive index difference between two adjacent layers, in this case the ITO and air. MgF</w:t>
      </w:r>
      <w:r w:rsidRPr="003526BA">
        <w:rPr>
          <w:vertAlign w:val="subscript"/>
        </w:rPr>
        <w:t>2</w:t>
      </w:r>
      <w:r w:rsidRPr="003526BA">
        <w:t xml:space="preserve"> is a suitable material, as already commonly used in SHJ cells to reduce the reflection</w:t>
      </w:r>
      <w:r w:rsidRPr="003526BA">
        <w:rPr>
          <w:noProof/>
          <w:vertAlign w:val="superscript"/>
        </w:rPr>
        <w:t>[8]</w:t>
      </w:r>
      <w:r w:rsidRPr="003526BA">
        <w:t xml:space="preserve">, since it´s refractive index </w:t>
      </w:r>
      <w:r w:rsidRPr="003526BA">
        <w:rPr>
          <w:i/>
        </w:rPr>
        <w:t>n</w:t>
      </w:r>
      <w:r w:rsidRPr="003526BA">
        <w:rPr>
          <w:vertAlign w:val="subscript"/>
        </w:rPr>
        <w:t>MgF2</w:t>
      </w:r>
      <w:r w:rsidRPr="003526BA">
        <w:t xml:space="preserve"> for wavelength from 300 nm to 1200 nm is between 1.3 and 1.4, which is between the refractive index of ITO with 1.62 ≤ </w:t>
      </w:r>
      <w:r w:rsidRPr="003526BA">
        <w:rPr>
          <w:i/>
        </w:rPr>
        <w:t>n</w:t>
      </w:r>
      <w:r w:rsidRPr="003526BA">
        <w:rPr>
          <w:vertAlign w:val="subscript"/>
        </w:rPr>
        <w:t>ITO</w:t>
      </w:r>
      <w:r w:rsidRPr="003526BA">
        <w:t xml:space="preserve"> ≤ 2.51 and air with </w:t>
      </w:r>
      <w:r w:rsidRPr="003526BA">
        <w:rPr>
          <w:i/>
        </w:rPr>
        <w:t>n</w:t>
      </w:r>
      <w:r w:rsidRPr="003526BA">
        <w:rPr>
          <w:vertAlign w:val="subscript"/>
        </w:rPr>
        <w:t>air</w:t>
      </w:r>
      <w:r w:rsidRPr="003526BA">
        <w:t xml:space="preserve"> = 1. Additionally, MgF</w:t>
      </w:r>
      <w:r w:rsidRPr="003526BA">
        <w:rPr>
          <w:vertAlign w:val="subscript"/>
        </w:rPr>
        <w:t>2</w:t>
      </w:r>
      <w:r w:rsidRPr="003526BA">
        <w:t xml:space="preserve"> has an absorption coefficient of nearly zero for </w:t>
      </w:r>
      <w:r w:rsidRPr="0093187C">
        <w:t xml:space="preserve">visible light, thus the parasitic absorption will not increase significantly. The measurements are all conducted in air. It is expected that, in a module, the </w:t>
      </w:r>
      <w:r w:rsidR="00892749" w:rsidRPr="0093187C">
        <w:t xml:space="preserve">short-circuit </w:t>
      </w:r>
      <w:r w:rsidRPr="0093187C">
        <w:t>current gain from MgF</w:t>
      </w:r>
      <w:r w:rsidRPr="0093187C">
        <w:rPr>
          <w:vertAlign w:val="subscript"/>
        </w:rPr>
        <w:t>2</w:t>
      </w:r>
      <w:r w:rsidRPr="0093187C">
        <w:t xml:space="preserve"> is likely less than in air, if there is any gain at all. Nevertheless, the use of MgF</w:t>
      </w:r>
      <w:r w:rsidRPr="0093187C">
        <w:rPr>
          <w:vertAlign w:val="subscript"/>
        </w:rPr>
        <w:t>2</w:t>
      </w:r>
      <w:r w:rsidRPr="0093187C">
        <w:t xml:space="preserve"> as anti-reflective coating shows the potential of the TPC and if the encapsulation material in a module can match the refractive index of MgF</w:t>
      </w:r>
      <w:r w:rsidRPr="0093187C">
        <w:rPr>
          <w:vertAlign w:val="subscript"/>
        </w:rPr>
        <w:t>2</w:t>
      </w:r>
      <w:r w:rsidRPr="0093187C">
        <w:t>, a similar effect might be achieved in a module as well.</w:t>
      </w:r>
    </w:p>
    <w:p w14:paraId="0EF36E9C" w14:textId="77777777" w:rsidR="00B97F5E" w:rsidRPr="003526BA" w:rsidRDefault="00B97F5E">
      <w:pPr>
        <w:pStyle w:val="Head1"/>
      </w:pPr>
      <w:r w:rsidRPr="00B85E14">
        <w:rPr>
          <w:noProof/>
          <w:lang w:val="de-DE" w:eastAsia="de-DE"/>
        </w:rPr>
        <w:lastRenderedPageBreak/>
        <w:drawing>
          <wp:inline distT="0" distB="0" distL="0" distR="0" wp14:anchorId="54C541D6" wp14:editId="2E7B97B8">
            <wp:extent cx="3121660" cy="238379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21660" cy="2383790"/>
                    </a:xfrm>
                    <a:prstGeom prst="rect">
                      <a:avLst/>
                    </a:prstGeom>
                    <a:noFill/>
                  </pic:spPr>
                </pic:pic>
              </a:graphicData>
            </a:graphic>
          </wp:inline>
        </w:drawing>
      </w:r>
    </w:p>
    <w:p w14:paraId="2BE71E15" w14:textId="77777777" w:rsidR="00B97F5E" w:rsidRPr="003526BA" w:rsidRDefault="00B97F5E">
      <w:pPr>
        <w:pStyle w:val="Head1"/>
        <w:rPr>
          <w:b/>
        </w:rPr>
      </w:pPr>
      <w:r w:rsidRPr="003526BA">
        <w:rPr>
          <w:b/>
          <w:bCs/>
        </w:rPr>
        <w:t>Figure</w:t>
      </w:r>
      <w:r w:rsidRPr="003526BA">
        <w:t xml:space="preserve"> </w:t>
      </w:r>
      <w:r w:rsidRPr="003526BA">
        <w:rPr>
          <w:b/>
          <w:bCs/>
        </w:rPr>
        <w:t xml:space="preserve">1. </w:t>
      </w:r>
      <w:r w:rsidRPr="003526BA">
        <w:t xml:space="preserve">Optical losses in the Transparent Passivating Contact cell according to </w:t>
      </w:r>
      <w:r w:rsidRPr="003526BA">
        <w:rPr>
          <w:lang w:val="en-GB"/>
        </w:rPr>
        <w:t>Paviet-Salomon</w:t>
      </w:r>
      <w:r w:rsidRPr="003526BA" w:rsidDel="00C84E2E">
        <w:t xml:space="preserve"> </w:t>
      </w:r>
      <w:r w:rsidRPr="00B85E14">
        <w:rPr>
          <w:i/>
          <w:iCs/>
        </w:rPr>
        <w:t>et al.</w:t>
      </w:r>
      <w:r w:rsidRPr="003526BA">
        <w:rPr>
          <w:noProof/>
          <w:vertAlign w:val="superscript"/>
        </w:rPr>
        <w:t>[15]</w:t>
      </w:r>
      <w:r w:rsidRPr="003526BA">
        <w:t xml:space="preserve">. The biggest contributors to the losses are the long-wavelength near-IR absorption losses, followed by losses from finger shading and front escape. </w:t>
      </w:r>
    </w:p>
    <w:p w14:paraId="5C79C313" w14:textId="77777777" w:rsidR="00B97F5E" w:rsidRPr="003526BA" w:rsidRDefault="00B97F5E">
      <w:pPr>
        <w:pStyle w:val="Head1"/>
      </w:pPr>
    </w:p>
    <w:p w14:paraId="463D99A0" w14:textId="77777777" w:rsidR="00B97F5E" w:rsidRPr="003526BA" w:rsidRDefault="00B97F5E">
      <w:pPr>
        <w:pStyle w:val="Head1"/>
      </w:pPr>
      <w:r w:rsidRPr="003526BA">
        <w:t>2.2. Optical Optimization</w:t>
      </w:r>
    </w:p>
    <w:p w14:paraId="443B7447" w14:textId="77777777" w:rsidR="00B97F5E" w:rsidRPr="003526BA" w:rsidRDefault="00B97F5E">
      <w:pPr>
        <w:pStyle w:val="Head1"/>
      </w:pPr>
      <w:r w:rsidRPr="003526BA">
        <w:t xml:space="preserve">In </w:t>
      </w:r>
      <w:r w:rsidRPr="003526BA">
        <w:rPr>
          <w:b/>
          <w:bCs/>
        </w:rPr>
        <w:t>Figure 2</w:t>
      </w:r>
      <w:r w:rsidRPr="003526BA">
        <w:t>, it is shown that adding a MgF</w:t>
      </w:r>
      <w:r w:rsidRPr="003526BA">
        <w:rPr>
          <w:vertAlign w:val="subscript"/>
        </w:rPr>
        <w:t>2</w:t>
      </w:r>
      <w:r w:rsidRPr="003526BA">
        <w:t>-layer reduces the reflectance of a TPC test cell. The reflection is notably reduced below a wavelength of 500 nm and between 600 nm and 1000 nm. This reduction in reflection increases absorption and thus leads to a higher external quantum efficiency (EQE).</w:t>
      </w:r>
    </w:p>
    <w:p w14:paraId="37E8A9E0" w14:textId="77777777" w:rsidR="00B97F5E" w:rsidRPr="003526BA" w:rsidRDefault="00B97F5E">
      <w:pPr>
        <w:pStyle w:val="Head1"/>
      </w:pPr>
      <w:r w:rsidRPr="003526BA">
        <w:t xml:space="preserve">The calculated short-circuit current gain from the reduced reflection from the difference in the measured reflection curve is approximately 0.8 mA/cm², while the calculated short-circuit current gain in </w:t>
      </w:r>
      <w:r w:rsidRPr="003526BA">
        <w:rPr>
          <w:i/>
          <w:iCs/>
        </w:rPr>
        <w:t>EQE</w:t>
      </w:r>
      <w:r w:rsidRPr="003526BA">
        <w:t xml:space="preserve"> only equals approximately 0.15 mA/cm². The lower short-circuit current gain in </w:t>
      </w:r>
      <w:r w:rsidRPr="003526BA">
        <w:rPr>
          <w:i/>
          <w:iCs/>
        </w:rPr>
        <w:t>EQE</w:t>
      </w:r>
      <w:r w:rsidRPr="003526BA">
        <w:t xml:space="preserve"> than from the reduced reflection is an indication for a reduction in the quality of the passivation, which is also shown in the IV-parameters of the test cell in </w:t>
      </w:r>
      <w:r w:rsidRPr="003526BA">
        <w:rPr>
          <w:b/>
          <w:bCs/>
        </w:rPr>
        <w:t>Table 1</w:t>
      </w:r>
      <w:r w:rsidRPr="003526BA">
        <w:t xml:space="preserve">. There it can be seen that the </w:t>
      </w:r>
      <w:r w:rsidRPr="003526BA">
        <w:rPr>
          <w:i/>
          <w:iCs/>
        </w:rPr>
        <w:t>V</w:t>
      </w:r>
      <w:r w:rsidRPr="003526BA">
        <w:rPr>
          <w:vertAlign w:val="subscript"/>
        </w:rPr>
        <w:t>OC</w:t>
      </w:r>
      <w:r w:rsidRPr="003526BA">
        <w:t xml:space="preserve">, the </w:t>
      </w:r>
      <w:r w:rsidRPr="003526BA">
        <w:rPr>
          <w:i/>
          <w:iCs/>
        </w:rPr>
        <w:t>pFF</w:t>
      </w:r>
      <w:r w:rsidRPr="003526BA">
        <w:t xml:space="preserve"> and also the </w:t>
      </w:r>
      <w:r w:rsidRPr="003526BA">
        <w:rPr>
          <w:i/>
          <w:iCs/>
        </w:rPr>
        <w:t>FF</w:t>
      </w:r>
      <w:r w:rsidRPr="003526BA">
        <w:t xml:space="preserve"> decrease, leading also to a reduction in efficiency after the MgF</w:t>
      </w:r>
      <w:r w:rsidRPr="003526BA">
        <w:rPr>
          <w:vertAlign w:val="subscript"/>
        </w:rPr>
        <w:t>2</w:t>
      </w:r>
      <w:r w:rsidRPr="003526BA">
        <w:t xml:space="preserve"> evaporation.</w:t>
      </w:r>
    </w:p>
    <w:p w14:paraId="73C9C74B" w14:textId="77777777" w:rsidR="00B97F5E" w:rsidRPr="003526BA" w:rsidRDefault="00B97F5E">
      <w:pPr>
        <w:pStyle w:val="Head1"/>
      </w:pPr>
      <w:r w:rsidRPr="003526BA">
        <w:t xml:space="preserve">The lower short-circuit current gain and reduced </w:t>
      </w:r>
      <w:r w:rsidRPr="003526BA">
        <w:rPr>
          <w:i/>
          <w:iCs/>
        </w:rPr>
        <w:t>V</w:t>
      </w:r>
      <w:r w:rsidRPr="003526BA">
        <w:rPr>
          <w:vertAlign w:val="subscript"/>
        </w:rPr>
        <w:t>OC</w:t>
      </w:r>
      <w:r w:rsidRPr="003526BA">
        <w:t xml:space="preserve"> are signs for a lower passivation quality and could be explained by more unpassivated dangling bonds, which act as energetic states in the band gap of the c-Si surface. They act as traps for the charge carriers in which the carriers </w:t>
      </w:r>
      <w:r w:rsidRPr="003526BA">
        <w:lastRenderedPageBreak/>
        <w:t xml:space="preserve">recombine. When more charge carriers recombine, for example through these trap states, the </w:t>
      </w:r>
      <w:r w:rsidRPr="003526BA">
        <w:rPr>
          <w:i/>
          <w:iCs/>
        </w:rPr>
        <w:t>V</w:t>
      </w:r>
      <w:r w:rsidRPr="003526BA">
        <w:rPr>
          <w:vertAlign w:val="subscript"/>
        </w:rPr>
        <w:t>OC</w:t>
      </w:r>
      <w:r w:rsidRPr="003526BA">
        <w:t xml:space="preserve"> and the generated current is reduced</w:t>
      </w:r>
      <w:r w:rsidRPr="003526BA">
        <w:rPr>
          <w:i/>
          <w:iCs/>
        </w:rPr>
        <w:t xml:space="preserve">, </w:t>
      </w:r>
      <w:r w:rsidRPr="003526BA">
        <w:t>possibly explaining the difference in calculated gain from the reflectance and</w:t>
      </w:r>
      <w:r w:rsidRPr="003526BA">
        <w:rPr>
          <w:i/>
          <w:iCs/>
        </w:rPr>
        <w:t xml:space="preserve"> EQE</w:t>
      </w:r>
      <w:r w:rsidRPr="003526BA">
        <w:t xml:space="preserve">. The drop in </w:t>
      </w:r>
      <w:r w:rsidRPr="003526BA">
        <w:rPr>
          <w:i/>
          <w:iCs/>
        </w:rPr>
        <w:t>FF</w:t>
      </w:r>
      <w:r w:rsidRPr="003526BA">
        <w:t xml:space="preserve"> can be explained by the drop in </w:t>
      </w:r>
      <w:r w:rsidRPr="003526BA">
        <w:rPr>
          <w:i/>
          <w:iCs/>
        </w:rPr>
        <w:t>pFF</w:t>
      </w:r>
      <w:r w:rsidRPr="003526BA">
        <w:t>, which also stems from the reduced passivation quality and thus enhanced recombination</w:t>
      </w:r>
      <w:r w:rsidRPr="003526BA">
        <w:rPr>
          <w:noProof/>
          <w:vertAlign w:val="superscript"/>
        </w:rPr>
        <w:t>[16, 17]</w:t>
      </w:r>
      <w:r w:rsidRPr="003526BA">
        <w:t xml:space="preserve">. A reduction caused by an increase in </w:t>
      </w:r>
      <w:r w:rsidRPr="003526BA">
        <w:rPr>
          <w:i/>
        </w:rPr>
        <w:t>R</w:t>
      </w:r>
      <w:r w:rsidRPr="003526BA">
        <w:rPr>
          <w:vertAlign w:val="subscript"/>
        </w:rPr>
        <w:t>S</w:t>
      </w:r>
      <w:r w:rsidRPr="003526BA">
        <w:t xml:space="preserve"> can be ruled out since </w:t>
      </w:r>
      <w:r w:rsidRPr="003526BA">
        <w:rPr>
          <w:i/>
        </w:rPr>
        <w:t>R</w:t>
      </w:r>
      <w:r w:rsidRPr="003526BA">
        <w:rPr>
          <w:vertAlign w:val="subscript"/>
        </w:rPr>
        <w:t>S</w:t>
      </w:r>
      <w:r w:rsidRPr="003526BA">
        <w:t xml:space="preserve"> is approximately constant, as can be seen for example in </w:t>
      </w:r>
      <w:r w:rsidRPr="00B85E14">
        <w:rPr>
          <w:b/>
          <w:bCs/>
        </w:rPr>
        <w:t>Figure 3</w:t>
      </w:r>
      <w:r w:rsidRPr="003E6F5D">
        <w:rPr>
          <w:b/>
          <w:bCs/>
        </w:rPr>
        <w:t xml:space="preserve"> </w:t>
      </w:r>
      <w:r w:rsidRPr="00B85E14">
        <w:t>e)</w:t>
      </w:r>
      <w:r w:rsidRPr="003E6F5D">
        <w:t>.</w:t>
      </w:r>
      <w:r w:rsidRPr="003526BA">
        <w:t xml:space="preserve"> A possible mechanism for the degradation of the passivation is given at the end of this chapter.</w:t>
      </w:r>
    </w:p>
    <w:p w14:paraId="1EEF8F0B" w14:textId="77777777" w:rsidR="00B97F5E" w:rsidRPr="003526BA" w:rsidRDefault="00B97F5E">
      <w:pPr>
        <w:pStyle w:val="Head1"/>
      </w:pPr>
      <w:r w:rsidRPr="003526BA">
        <w:t>The TPC test cell was placed on a hot plate in ambient air for various times and temperatures after the MgF</w:t>
      </w:r>
      <w:r w:rsidRPr="003526BA">
        <w:rPr>
          <w:vertAlign w:val="subscript"/>
        </w:rPr>
        <w:t>2</w:t>
      </w:r>
      <w:r w:rsidRPr="003526BA">
        <w:t xml:space="preserve"> evaporation, as indicated on the x-axis of </w:t>
      </w:r>
      <w:r w:rsidRPr="00B85E14">
        <w:t>Figure 3</w:t>
      </w:r>
      <w:r w:rsidRPr="003E6F5D">
        <w:t xml:space="preserve">. As shown in </w:t>
      </w:r>
      <w:r w:rsidRPr="003526BA">
        <w:t xml:space="preserve">Figure 3, after the first annealing step, there is a large increase in </w:t>
      </w:r>
      <w:r w:rsidRPr="003526BA">
        <w:rPr>
          <w:i/>
          <w:iCs/>
        </w:rPr>
        <w:t>J</w:t>
      </w:r>
      <w:r w:rsidRPr="003526BA">
        <w:rPr>
          <w:vertAlign w:val="subscript"/>
        </w:rPr>
        <w:t>SC</w:t>
      </w:r>
      <w:r w:rsidRPr="003526BA">
        <w:t xml:space="preserve"> of 3.89 mA/cm² and only small increases in </w:t>
      </w:r>
      <w:r w:rsidRPr="003526BA">
        <w:rPr>
          <w:i/>
          <w:iCs/>
        </w:rPr>
        <w:t>FF</w:t>
      </w:r>
      <w:r w:rsidRPr="003526BA">
        <w:t xml:space="preserve"> and </w:t>
      </w:r>
      <w:r w:rsidRPr="003526BA">
        <w:rPr>
          <w:i/>
          <w:iCs/>
        </w:rPr>
        <w:t>V</w:t>
      </w:r>
      <w:r w:rsidRPr="003526BA">
        <w:rPr>
          <w:vertAlign w:val="subscript"/>
        </w:rPr>
        <w:t>OC</w:t>
      </w:r>
      <w:r w:rsidRPr="003526BA">
        <w:t xml:space="preserve">. </w:t>
      </w:r>
      <w:r w:rsidRPr="003526BA">
        <w:rPr>
          <w:i/>
          <w:iCs/>
        </w:rPr>
        <w:t>FF</w:t>
      </w:r>
      <w:r w:rsidRPr="003526BA">
        <w:t xml:space="preserve"> and </w:t>
      </w:r>
      <w:r w:rsidRPr="003526BA">
        <w:rPr>
          <w:i/>
          <w:iCs/>
        </w:rPr>
        <w:t>V</w:t>
      </w:r>
      <w:r w:rsidRPr="003526BA">
        <w:rPr>
          <w:vertAlign w:val="subscript"/>
        </w:rPr>
        <w:t>OC</w:t>
      </w:r>
      <w:r w:rsidRPr="003526BA">
        <w:t xml:space="preserve"> have a significant increase of 1.44 %</w:t>
      </w:r>
      <w:r w:rsidRPr="003526BA">
        <w:rPr>
          <w:vertAlign w:val="subscript"/>
        </w:rPr>
        <w:t>abs</w:t>
      </w:r>
      <w:r w:rsidRPr="003526BA">
        <w:t xml:space="preserve"> and 11 mV respectively after the second annealing step. Within the measurement error, the </w:t>
      </w:r>
      <w:r w:rsidRPr="003526BA">
        <w:rPr>
          <w:i/>
          <w:iCs/>
        </w:rPr>
        <w:t>V</w:t>
      </w:r>
      <w:r w:rsidRPr="003526BA">
        <w:rPr>
          <w:vertAlign w:val="subscript"/>
        </w:rPr>
        <w:t>OC</w:t>
      </w:r>
      <w:r w:rsidRPr="003526BA">
        <w:t xml:space="preserve">, </w:t>
      </w:r>
      <w:r w:rsidRPr="003526BA">
        <w:rPr>
          <w:i/>
          <w:iCs/>
        </w:rPr>
        <w:t>J</w:t>
      </w:r>
      <w:r w:rsidRPr="003526BA">
        <w:rPr>
          <w:vertAlign w:val="subscript"/>
        </w:rPr>
        <w:t>SC</w:t>
      </w:r>
      <w:r w:rsidRPr="003526BA">
        <w:t xml:space="preserve"> and </w:t>
      </w:r>
      <w:r w:rsidRPr="003526BA">
        <w:rPr>
          <w:i/>
          <w:iCs/>
        </w:rPr>
        <w:t>FF</w:t>
      </w:r>
      <w:r w:rsidRPr="003526BA">
        <w:t xml:space="preserve"> are constant for any further annealing step. The error in </w:t>
      </w:r>
      <w:r w:rsidRPr="00B85E14">
        <w:rPr>
          <w:i/>
          <w:iCs/>
        </w:rPr>
        <w:t>FF</w:t>
      </w:r>
      <w:r w:rsidRPr="003E6F5D">
        <w:t xml:space="preserve"> and fluctuation for the different annealing steps might be explained by the sheet resistance </w:t>
      </w:r>
      <w:r w:rsidRPr="003526BA">
        <w:rPr>
          <w:i/>
          <w:iCs/>
        </w:rPr>
        <w:t>R</w:t>
      </w:r>
      <w:r w:rsidRPr="003526BA">
        <w:rPr>
          <w:vertAlign w:val="subscript"/>
        </w:rPr>
        <w:t>S</w:t>
      </w:r>
      <w:r w:rsidRPr="003526BA">
        <w:t xml:space="preserve">, which error is extraordinarily large and stems from the measurement tool. The recovered passivation can be seen in the increased </w:t>
      </w:r>
      <w:r w:rsidRPr="003526BA">
        <w:rPr>
          <w:i/>
          <w:iCs/>
        </w:rPr>
        <w:t>V</w:t>
      </w:r>
      <w:r w:rsidRPr="003526BA">
        <w:rPr>
          <w:vertAlign w:val="subscript"/>
        </w:rPr>
        <w:t>OC</w:t>
      </w:r>
      <w:r w:rsidRPr="003526BA">
        <w:t xml:space="preserve"> as well as the steady increase in effective lifetime </w:t>
      </w:r>
      <w:r w:rsidRPr="003526BA">
        <w:rPr>
          <w:i/>
          <w:iCs/>
        </w:rPr>
        <w:t>τ</w:t>
      </w:r>
      <w:r w:rsidRPr="003526BA">
        <w:rPr>
          <w:vertAlign w:val="subscript"/>
        </w:rPr>
        <w:t>eff</w:t>
      </w:r>
      <w:r w:rsidRPr="003526BA">
        <w:t>, where an increased lifetime implies lower recombination losses and thus a better passivation.</w:t>
      </w:r>
    </w:p>
    <w:p w14:paraId="674F6A24" w14:textId="77777777" w:rsidR="00B97F5E" w:rsidRPr="003526BA" w:rsidRDefault="00B97F5E">
      <w:pPr>
        <w:pStyle w:val="Head1"/>
      </w:pPr>
      <w:r w:rsidRPr="003526BA">
        <w:t>As shown in previous studies</w:t>
      </w:r>
      <w:r w:rsidRPr="003526BA">
        <w:rPr>
          <w:noProof/>
          <w:vertAlign w:val="superscript"/>
        </w:rPr>
        <w:t>[11]</w:t>
      </w:r>
      <w:r w:rsidRPr="003526BA">
        <w:t xml:space="preserve">, the first two annealing steps were then applied to the champion cell. The efficiency was improved from 23.8% to 24.0%, mainly by improving the </w:t>
      </w:r>
      <w:r w:rsidRPr="003526BA">
        <w:rPr>
          <w:i/>
          <w:iCs/>
        </w:rPr>
        <w:t>J</w:t>
      </w:r>
      <w:r w:rsidRPr="003526BA">
        <w:rPr>
          <w:vertAlign w:val="subscript"/>
        </w:rPr>
        <w:t>SC</w:t>
      </w:r>
      <w:r w:rsidRPr="003526BA">
        <w:t xml:space="preserve"> to 40.9 mA/cm² while maintaining the </w:t>
      </w:r>
      <w:r w:rsidRPr="003526BA">
        <w:rPr>
          <w:i/>
          <w:iCs/>
        </w:rPr>
        <w:t>FF</w:t>
      </w:r>
      <w:r w:rsidRPr="003526BA">
        <w:t xml:space="preserve"> and the </w:t>
      </w:r>
      <w:r w:rsidRPr="003526BA">
        <w:rPr>
          <w:i/>
          <w:iCs/>
        </w:rPr>
        <w:t>V</w:t>
      </w:r>
      <w:r w:rsidRPr="003526BA">
        <w:rPr>
          <w:vertAlign w:val="subscript"/>
        </w:rPr>
        <w:t>OC</w:t>
      </w:r>
      <w:r w:rsidRPr="003526BA">
        <w:t>. The in-house measured history for each cell parameter for each processing step of the test cell and the champion cell can be found in Table 1.</w:t>
      </w:r>
    </w:p>
    <w:p w14:paraId="6CA7DC6A" w14:textId="77777777" w:rsidR="00B97F5E" w:rsidRPr="003526BA" w:rsidRDefault="00B97F5E">
      <w:pPr>
        <w:pStyle w:val="Head1"/>
      </w:pPr>
      <w:r w:rsidRPr="003526BA">
        <w:t>As a possible explanation we suggest that in the initial passivation directly after the nc-SiC:H(n) growth, atomic hydrogen introduced during the deposition process might passivate the dangling bonds of the crystalline silicon interface that are not bonded to oxygen of the SiO</w:t>
      </w:r>
      <w:r w:rsidRPr="003526BA">
        <w:rPr>
          <w:vertAlign w:val="subscript"/>
        </w:rPr>
        <w:t>X</w:t>
      </w:r>
      <w:r w:rsidRPr="003526BA">
        <w:t xml:space="preserve"> tunnel oxide layer. The degradation of the passivation during the MgF</w:t>
      </w:r>
      <w:r w:rsidRPr="003526BA">
        <w:rPr>
          <w:vertAlign w:val="subscript"/>
        </w:rPr>
        <w:t>2</w:t>
      </w:r>
      <w:r w:rsidRPr="003526BA">
        <w:t xml:space="preserve"> evaporation could be due to cracking </w:t>
      </w:r>
      <w:r w:rsidRPr="003526BA">
        <w:lastRenderedPageBreak/>
        <w:t>of silicon-hydrogen bonds at the crystalline silicon interface, leading to more dangling bonds and an increased recombination. It is very unlikely that particles reach the crystalline silicon interface during the MgF</w:t>
      </w:r>
      <w:r w:rsidRPr="003526BA">
        <w:rPr>
          <w:vertAlign w:val="subscript"/>
        </w:rPr>
        <w:t>2</w:t>
      </w:r>
      <w:r w:rsidRPr="003526BA">
        <w:t xml:space="preserve"> evaporation, since for example during a sputtering process oxygen ions with an energy of 1 keV would only penetrate approximately 4 nm into silicon</w:t>
      </w:r>
      <w:r w:rsidRPr="003526BA">
        <w:rPr>
          <w:noProof/>
          <w:vertAlign w:val="superscript"/>
        </w:rPr>
        <w:t>[18]</w:t>
      </w:r>
      <w:r w:rsidRPr="003526BA">
        <w:t xml:space="preserve">. The thermal energy </w:t>
      </w:r>
      <w:r w:rsidRPr="00B85E14">
        <w:rPr>
          <w:i/>
          <w:iCs/>
        </w:rPr>
        <w:t>kT</w:t>
      </w:r>
      <w:r w:rsidRPr="003E6F5D">
        <w:t xml:space="preserve"> of the MgF</w:t>
      </w:r>
      <w:r w:rsidRPr="003526BA">
        <w:rPr>
          <w:vertAlign w:val="subscript"/>
        </w:rPr>
        <w:t>2</w:t>
      </w:r>
      <w:r w:rsidRPr="003526BA">
        <w:t xml:space="preserve"> at the evaporation temperature </w:t>
      </w:r>
      <w:r w:rsidRPr="00B85E14">
        <w:rPr>
          <w:i/>
          <w:iCs/>
        </w:rPr>
        <w:t>T</w:t>
      </w:r>
      <w:r w:rsidRPr="003E6F5D">
        <w:t>, calculated by using the meltin</w:t>
      </w:r>
      <w:r w:rsidRPr="003526BA">
        <w:t>g point of MgF</w:t>
      </w:r>
      <w:r w:rsidRPr="003526BA">
        <w:rPr>
          <w:vertAlign w:val="subscript"/>
        </w:rPr>
        <w:t>2</w:t>
      </w:r>
      <w:r w:rsidRPr="003526BA">
        <w:t xml:space="preserve">, </w:t>
      </w:r>
      <w:r w:rsidRPr="00B85E14">
        <w:rPr>
          <w:i/>
          <w:iCs/>
        </w:rPr>
        <w:t>T</w:t>
      </w:r>
      <w:r w:rsidRPr="003E6F5D">
        <w:t xml:space="preserve"> = </w:t>
      </w:r>
      <w:r w:rsidRPr="003526BA">
        <w:t>1528 K</w:t>
      </w:r>
      <w:r w:rsidRPr="003526BA">
        <w:rPr>
          <w:noProof/>
          <w:vertAlign w:val="superscript"/>
        </w:rPr>
        <w:t>[19]</w:t>
      </w:r>
      <w:r w:rsidRPr="003526BA">
        <w:t xml:space="preserve"> and </w:t>
      </w:r>
      <w:r w:rsidRPr="00B85E14">
        <w:rPr>
          <w:i/>
          <w:iCs/>
        </w:rPr>
        <w:t>k</w:t>
      </w:r>
      <w:r w:rsidRPr="003E6F5D">
        <w:t xml:space="preserve"> being the Boltzmann constant</w:t>
      </w:r>
      <w:r w:rsidRPr="003526BA">
        <w:t>, is approximately 0.66 eV.  One explanation could be thermally-induced cracking of the silicon-hydrogen bonds at the c-Si interface. Since no additional heater is used, the energy might come from impacting particles or radiation emitted from the sublimation process of the MgF</w:t>
      </w:r>
      <w:r w:rsidRPr="003526BA">
        <w:rPr>
          <w:vertAlign w:val="subscript"/>
        </w:rPr>
        <w:t>2</w:t>
      </w:r>
      <w:r w:rsidRPr="003526BA">
        <w:t xml:space="preserve"> and is then transported to the SiO</w:t>
      </w:r>
      <w:r w:rsidRPr="003526BA">
        <w:rPr>
          <w:vertAlign w:val="subscript"/>
        </w:rPr>
        <w:t>X</w:t>
      </w:r>
      <w:r w:rsidRPr="003526BA">
        <w:t>/c-Si interface by lattice vibrations, which can transport energies up to 75 meV</w:t>
      </w:r>
      <w:r w:rsidRPr="003526BA">
        <w:rPr>
          <w:noProof/>
          <w:vertAlign w:val="superscript"/>
        </w:rPr>
        <w:t>[20]</w:t>
      </w:r>
      <w:r w:rsidRPr="003526BA">
        <w:t>. The heat supplied during the annealing then restores some of the previously broken bonds. The underlying assumption is that a single hydrogen atom can´t persist and needs a bonding partner, in this case either a silicon dangling bond, saturating another silicon bond either at the c-Si interface, or from the SiO</w:t>
      </w:r>
      <w:r w:rsidRPr="003526BA">
        <w:rPr>
          <w:vertAlign w:val="subscript"/>
        </w:rPr>
        <w:t>X</w:t>
      </w:r>
      <w:r w:rsidRPr="003526BA">
        <w:t>, or another hydrogen, forming H</w:t>
      </w:r>
      <w:r w:rsidRPr="003526BA">
        <w:rPr>
          <w:vertAlign w:val="subscript"/>
        </w:rPr>
        <w:t>2</w:t>
      </w:r>
      <w:r w:rsidRPr="003526BA">
        <w:t>. Once detached from the silicon dangling bond of the crystalline silicon interface and, if bonded to another hydrogen atom, the H</w:t>
      </w:r>
      <w:r w:rsidRPr="003526BA">
        <w:rPr>
          <w:vertAlign w:val="subscript"/>
        </w:rPr>
        <w:t>2</w:t>
      </w:r>
      <w:r w:rsidRPr="003526BA">
        <w:t xml:space="preserve"> diffuses mostly along the c-Si interface, since SiO</w:t>
      </w:r>
      <w:r w:rsidRPr="003526BA">
        <w:rPr>
          <w:vertAlign w:val="subscript"/>
        </w:rPr>
        <w:t>2</w:t>
      </w:r>
      <w:r w:rsidRPr="003526BA">
        <w:t xml:space="preserve"> decreases the hydrogen diffusion significantly</w:t>
      </w:r>
      <w:r w:rsidRPr="003526BA">
        <w:rPr>
          <w:noProof/>
          <w:vertAlign w:val="superscript"/>
        </w:rPr>
        <w:t>[21-23]</w:t>
      </w:r>
      <w:r w:rsidRPr="003526BA">
        <w:t>. Since the oxide grown here is most likely under-stoichiometric</w:t>
      </w:r>
      <w:r w:rsidRPr="003526BA">
        <w:rPr>
          <w:noProof/>
          <w:vertAlign w:val="superscript"/>
        </w:rPr>
        <w:t>[24, 25]</w:t>
      </w:r>
      <w:r w:rsidRPr="003526BA">
        <w:t>, some hydrogen might escape from the interface and is lost for passivation purposes. The other H</w:t>
      </w:r>
      <w:r w:rsidRPr="003526BA">
        <w:rPr>
          <w:vertAlign w:val="subscript"/>
        </w:rPr>
        <w:t>2</w:t>
      </w:r>
      <w:r w:rsidRPr="003526BA">
        <w:t xml:space="preserve"> molecules remain close to the dangling bonds of the c-Si interface and can be reused for passivation purposes when cracked during the annealing procedure, re-saturating said dangling bond. A schematic visualization of the resulting lifecycle on the hydrogen at the interface can be found in </w:t>
      </w:r>
      <w:r w:rsidRPr="003526BA">
        <w:rPr>
          <w:b/>
          <w:bCs/>
        </w:rPr>
        <w:t>Figure S4</w:t>
      </w:r>
      <w:r w:rsidRPr="003526BA">
        <w:t>.</w:t>
      </w:r>
    </w:p>
    <w:p w14:paraId="7EBFB994" w14:textId="77777777" w:rsidR="00B97F5E" w:rsidRPr="003526BA" w:rsidRDefault="00B97F5E">
      <w:pPr>
        <w:pStyle w:val="Head1"/>
      </w:pPr>
      <w:r w:rsidRPr="00B85E14">
        <w:rPr>
          <w:noProof/>
          <w:lang w:val="de-DE" w:eastAsia="de-DE"/>
        </w:rPr>
        <w:lastRenderedPageBreak/>
        <w:drawing>
          <wp:inline distT="0" distB="0" distL="0" distR="0" wp14:anchorId="567833AD" wp14:editId="5C6358C6">
            <wp:extent cx="2874891" cy="2200879"/>
            <wp:effectExtent l="0" t="0" r="1905" b="9525"/>
            <wp:docPr id="1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pic:cNvPicPr>
                      <a:picLocks noChangeAspect="1" noChangeArrowheads="1"/>
                    </pic:cNvPicPr>
                  </pic:nvPicPr>
                  <pic:blipFill>
                    <a:blip r:embed="rId7"/>
                    <a:stretch>
                      <a:fillRect/>
                    </a:stretch>
                  </pic:blipFill>
                  <pic:spPr bwMode="auto">
                    <a:xfrm>
                      <a:off x="0" y="0"/>
                      <a:ext cx="2874891" cy="2200879"/>
                    </a:xfrm>
                    <a:prstGeom prst="rect">
                      <a:avLst/>
                    </a:prstGeom>
                    <a:noFill/>
                    <a:ln>
                      <a:noFill/>
                    </a:ln>
                  </pic:spPr>
                </pic:pic>
              </a:graphicData>
            </a:graphic>
          </wp:inline>
        </w:drawing>
      </w:r>
    </w:p>
    <w:p w14:paraId="1C3F5256" w14:textId="77777777" w:rsidR="00B97F5E" w:rsidRPr="003526BA" w:rsidRDefault="00B97F5E">
      <w:pPr>
        <w:pStyle w:val="Head1"/>
      </w:pPr>
      <w:r w:rsidRPr="003526BA">
        <w:rPr>
          <w:b/>
          <w:bCs/>
        </w:rPr>
        <w:t>Figure</w:t>
      </w:r>
      <w:r w:rsidRPr="003526BA">
        <w:t xml:space="preserve"> </w:t>
      </w:r>
      <w:r w:rsidRPr="003526BA">
        <w:rPr>
          <w:b/>
          <w:bCs/>
        </w:rPr>
        <w:t>2.</w:t>
      </w:r>
      <w:r w:rsidRPr="003526BA">
        <w:t xml:space="preserve"> Reflectance measurement and </w:t>
      </w:r>
      <w:r w:rsidRPr="003526BA">
        <w:rPr>
          <w:i/>
          <w:iCs/>
        </w:rPr>
        <w:t>EQE</w:t>
      </w:r>
      <w:r w:rsidRPr="003526BA">
        <w:t xml:space="preserve"> measurement of the TPC before and after MgF</w:t>
      </w:r>
      <w:r w:rsidRPr="003526BA">
        <w:rPr>
          <w:vertAlign w:val="subscript"/>
        </w:rPr>
        <w:t>2</w:t>
      </w:r>
      <w:r w:rsidRPr="00B85E14">
        <w:t xml:space="preserve">, </w:t>
      </w:r>
      <w:r w:rsidRPr="003E6F5D">
        <w:t>b</w:t>
      </w:r>
      <w:r w:rsidRPr="00B85E14">
        <w:t>ut without any annealing</w:t>
      </w:r>
      <w:r w:rsidRPr="003E6F5D">
        <w:t>. There is a mismatch from the calculated</w:t>
      </w:r>
      <w:r w:rsidRPr="003526BA">
        <w:t xml:space="preserve"> short-circuit current gain from the reduced reflection and the gain in </w:t>
      </w:r>
      <w:r w:rsidRPr="003526BA">
        <w:rPr>
          <w:i/>
          <w:iCs/>
        </w:rPr>
        <w:t>EQE</w:t>
      </w:r>
      <w:r w:rsidRPr="003526BA">
        <w:t>.</w:t>
      </w:r>
    </w:p>
    <w:p w14:paraId="4446728D" w14:textId="77777777" w:rsidR="00B97F5E" w:rsidRPr="003526BA" w:rsidRDefault="00B97F5E">
      <w:pPr>
        <w:pStyle w:val="Head1"/>
      </w:pPr>
      <w:r w:rsidRPr="00B85E14">
        <w:rPr>
          <w:noProof/>
          <w:lang w:val="de-DE" w:eastAsia="de-DE"/>
        </w:rPr>
        <w:drawing>
          <wp:inline distT="0" distB="0" distL="0" distR="0" wp14:anchorId="6A519778" wp14:editId="572CB3E1">
            <wp:extent cx="4692336" cy="3278465"/>
            <wp:effectExtent l="0" t="0" r="0" b="0"/>
            <wp:docPr id="1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4692336" cy="3278465"/>
                    </a:xfrm>
                    <a:prstGeom prst="rect">
                      <a:avLst/>
                    </a:prstGeom>
                    <a:noFill/>
                    <a:ln>
                      <a:noFill/>
                    </a:ln>
                  </pic:spPr>
                </pic:pic>
              </a:graphicData>
            </a:graphic>
          </wp:inline>
        </w:drawing>
      </w:r>
    </w:p>
    <w:p w14:paraId="5DA565BC" w14:textId="77777777" w:rsidR="00B97F5E" w:rsidRPr="003526BA" w:rsidRDefault="00B97F5E" w:rsidP="00B85E14">
      <w:pPr>
        <w:spacing w:line="360" w:lineRule="auto"/>
        <w:jc w:val="both"/>
        <w:rPr>
          <w:b/>
          <w:bCs/>
          <w:lang w:val="en-GB"/>
        </w:rPr>
      </w:pPr>
      <w:r w:rsidRPr="00B85E14">
        <w:rPr>
          <w:b/>
          <w:bCs/>
          <w:lang w:val="en-GB" w:eastAsia="en-US"/>
        </w:rPr>
        <w:t>Figure</w:t>
      </w:r>
      <w:r w:rsidRPr="00B85E14">
        <w:rPr>
          <w:lang w:val="en-GB" w:eastAsia="en-US"/>
        </w:rPr>
        <w:t xml:space="preserve"> </w:t>
      </w:r>
      <w:r w:rsidRPr="00B85E14">
        <w:rPr>
          <w:b/>
          <w:bCs/>
          <w:lang w:val="en-GB" w:eastAsia="en-US"/>
        </w:rPr>
        <w:t>3.</w:t>
      </w:r>
      <w:r w:rsidRPr="00B85E14">
        <w:rPr>
          <w:lang w:val="en-GB" w:eastAsia="en-US"/>
        </w:rPr>
        <w:t xml:space="preserve"> </w:t>
      </w:r>
      <w:r w:rsidRPr="003E6F5D">
        <w:rPr>
          <w:lang w:val="en-GB"/>
        </w:rPr>
        <w:t xml:space="preserve">(a) </w:t>
      </w:r>
      <w:r w:rsidRPr="00B85E14">
        <w:rPr>
          <w:lang w:val="en-GB" w:eastAsia="en-US"/>
        </w:rPr>
        <w:t xml:space="preserve">Efficiency </w:t>
      </w:r>
      <w:r w:rsidRPr="003E6F5D">
        <w:rPr>
          <w:i/>
          <w:iCs/>
        </w:rPr>
        <w:t>η</w:t>
      </w:r>
      <w:r w:rsidRPr="00B85E14">
        <w:rPr>
          <w:lang w:val="en-GB" w:eastAsia="en-US"/>
        </w:rPr>
        <w:t xml:space="preserve">, </w:t>
      </w:r>
      <w:r w:rsidRPr="003E6F5D">
        <w:rPr>
          <w:lang w:val="en-GB"/>
        </w:rPr>
        <w:t xml:space="preserve">(b) </w:t>
      </w:r>
      <w:r w:rsidRPr="00B85E14">
        <w:rPr>
          <w:i/>
          <w:iCs/>
          <w:lang w:val="en-GB" w:eastAsia="en-US"/>
        </w:rPr>
        <w:t>J</w:t>
      </w:r>
      <w:r w:rsidRPr="00B85E14">
        <w:rPr>
          <w:vertAlign w:val="subscript"/>
          <w:lang w:val="en-GB" w:eastAsia="en-US"/>
        </w:rPr>
        <w:t>SC</w:t>
      </w:r>
      <w:r w:rsidRPr="00B85E14">
        <w:rPr>
          <w:lang w:val="en-GB" w:eastAsia="en-US"/>
        </w:rPr>
        <w:t xml:space="preserve">, </w:t>
      </w:r>
      <w:r w:rsidRPr="003E6F5D">
        <w:rPr>
          <w:lang w:val="en-GB"/>
        </w:rPr>
        <w:t xml:space="preserve">(c) </w:t>
      </w:r>
      <w:r w:rsidRPr="00B85E14">
        <w:rPr>
          <w:i/>
          <w:iCs/>
          <w:lang w:val="en-GB" w:eastAsia="en-US"/>
        </w:rPr>
        <w:t>V</w:t>
      </w:r>
      <w:r w:rsidRPr="00B85E14">
        <w:rPr>
          <w:vertAlign w:val="subscript"/>
          <w:lang w:val="en-GB" w:eastAsia="en-US"/>
        </w:rPr>
        <w:t>OC</w:t>
      </w:r>
      <w:r w:rsidRPr="00B85E14">
        <w:rPr>
          <w:lang w:val="en-GB" w:eastAsia="en-US"/>
        </w:rPr>
        <w:t xml:space="preserve">, </w:t>
      </w:r>
      <w:r w:rsidRPr="003E6F5D">
        <w:rPr>
          <w:lang w:val="en-GB"/>
        </w:rPr>
        <w:t>(</w:t>
      </w:r>
      <w:r w:rsidRPr="003526BA">
        <w:rPr>
          <w:lang w:val="en-GB"/>
        </w:rPr>
        <w:t>d</w:t>
      </w:r>
      <w:r w:rsidRPr="003526BA">
        <w:rPr>
          <w:lang w:val="en-GB" w:eastAsia="en-US"/>
        </w:rPr>
        <w:t xml:space="preserve">) </w:t>
      </w:r>
      <w:r w:rsidRPr="00B85E14">
        <w:rPr>
          <w:i/>
          <w:iCs/>
          <w:lang w:val="en-GB" w:eastAsia="en-US"/>
        </w:rPr>
        <w:t xml:space="preserve">FF, </w:t>
      </w:r>
      <w:r w:rsidRPr="00B85E14">
        <w:rPr>
          <w:lang w:val="en-GB" w:eastAsia="en-US"/>
        </w:rPr>
        <w:t>(e)</w:t>
      </w:r>
      <w:r w:rsidRPr="003E6F5D">
        <w:rPr>
          <w:i/>
          <w:iCs/>
          <w:lang w:val="en-GB"/>
        </w:rPr>
        <w:t xml:space="preserve"> </w:t>
      </w:r>
      <w:r w:rsidRPr="00B85E14">
        <w:rPr>
          <w:i/>
          <w:iCs/>
          <w:lang w:val="en-GB" w:eastAsia="en-US"/>
        </w:rPr>
        <w:t>R</w:t>
      </w:r>
      <w:r w:rsidRPr="00B85E14">
        <w:rPr>
          <w:vertAlign w:val="subscript"/>
          <w:lang w:val="en-GB" w:eastAsia="en-US"/>
        </w:rPr>
        <w:t>S</w:t>
      </w:r>
      <w:r w:rsidRPr="00B85E14">
        <w:rPr>
          <w:i/>
          <w:iCs/>
          <w:lang w:val="en-GB" w:eastAsia="en-US"/>
        </w:rPr>
        <w:t xml:space="preserve"> </w:t>
      </w:r>
      <w:r w:rsidRPr="00B85E14">
        <w:rPr>
          <w:lang w:val="en-GB" w:eastAsia="en-US"/>
        </w:rPr>
        <w:t>and</w:t>
      </w:r>
      <w:r w:rsidRPr="003E6F5D">
        <w:rPr>
          <w:lang w:val="en-GB"/>
        </w:rPr>
        <w:t xml:space="preserve"> (f)</w:t>
      </w:r>
      <w:r w:rsidRPr="00B85E14">
        <w:rPr>
          <w:i/>
          <w:iCs/>
          <w:lang w:val="en-GB" w:eastAsia="en-US"/>
        </w:rPr>
        <w:t xml:space="preserve"> </w:t>
      </w:r>
      <w:r w:rsidRPr="003E6F5D">
        <w:rPr>
          <w:i/>
          <w:iCs/>
        </w:rPr>
        <w:t>τ</w:t>
      </w:r>
      <w:r w:rsidRPr="00B85E14">
        <w:rPr>
          <w:vertAlign w:val="subscript"/>
          <w:lang w:val="en-GB" w:eastAsia="en-US"/>
        </w:rPr>
        <w:t>eff</w:t>
      </w:r>
      <w:r w:rsidRPr="00B85E14">
        <w:rPr>
          <w:lang w:val="en-GB" w:eastAsia="en-US"/>
        </w:rPr>
        <w:t xml:space="preserve"> of a TPC cell for different annealing steps on a hot plate in ambient air. The annealing time and temperature can be found on the </w:t>
      </w:r>
      <w:r w:rsidRPr="00B85E14">
        <w:rPr>
          <w:i/>
          <w:lang w:val="en-GB" w:eastAsia="en-US"/>
        </w:rPr>
        <w:t>x</w:t>
      </w:r>
      <w:r w:rsidRPr="00B85E14">
        <w:rPr>
          <w:lang w:val="en-GB" w:eastAsia="en-US"/>
        </w:rPr>
        <w:t xml:space="preserve">-axis After the first two annealing steps, </w:t>
      </w:r>
      <w:r w:rsidRPr="003E6F5D">
        <w:rPr>
          <w:lang w:val="en-GB"/>
        </w:rPr>
        <w:t xml:space="preserve">we observe </w:t>
      </w:r>
      <w:r w:rsidRPr="00B85E14">
        <w:rPr>
          <w:lang w:val="en-GB" w:eastAsia="en-US"/>
        </w:rPr>
        <w:t xml:space="preserve">no further enhancement of the </w:t>
      </w:r>
      <w:r w:rsidRPr="003E6F5D">
        <w:rPr>
          <w:lang w:val="en-GB"/>
        </w:rPr>
        <w:t>performance parameters of the</w:t>
      </w:r>
      <w:r w:rsidRPr="003526BA">
        <w:rPr>
          <w:lang w:val="en-GB" w:eastAsia="en-US"/>
        </w:rPr>
        <w:t xml:space="preserve"> solar </w:t>
      </w:r>
      <w:r w:rsidRPr="00B85E14">
        <w:rPr>
          <w:lang w:val="en-GB" w:eastAsia="en-US"/>
        </w:rPr>
        <w:t>cell</w:t>
      </w:r>
      <w:r w:rsidRPr="003E6F5D">
        <w:rPr>
          <w:lang w:val="en-GB"/>
        </w:rPr>
        <w:t xml:space="preserve"> </w:t>
      </w:r>
      <w:r w:rsidRPr="00B85E14">
        <w:rPr>
          <w:lang w:val="en-GB" w:eastAsia="en-US"/>
        </w:rPr>
        <w:t>.</w:t>
      </w:r>
    </w:p>
    <w:p w14:paraId="2D3CC752" w14:textId="77777777" w:rsidR="00B97F5E" w:rsidRPr="003526BA" w:rsidRDefault="00B97F5E" w:rsidP="00950BFE">
      <w:pPr>
        <w:jc w:val="both"/>
        <w:rPr>
          <w:b/>
          <w:bCs/>
          <w:lang w:val="en-US"/>
        </w:rPr>
      </w:pPr>
    </w:p>
    <w:p w14:paraId="0FB76F75" w14:textId="77777777" w:rsidR="00B97F5E" w:rsidRPr="003526BA" w:rsidRDefault="00B97F5E">
      <w:pPr>
        <w:pStyle w:val="Head1"/>
      </w:pPr>
      <w:r w:rsidRPr="003526BA">
        <w:rPr>
          <w:b/>
          <w:bCs/>
        </w:rPr>
        <w:t>Table</w:t>
      </w:r>
      <w:r w:rsidRPr="003526BA">
        <w:t xml:space="preserve"> </w:t>
      </w:r>
      <w:r w:rsidRPr="003526BA">
        <w:rPr>
          <w:b/>
          <w:bCs/>
        </w:rPr>
        <w:t>1.</w:t>
      </w:r>
      <w:r w:rsidRPr="003526BA">
        <w:t xml:space="preserve"> In-house measured parameters for a TPC test solar cell and the champion cell before and after the MgF</w:t>
      </w:r>
      <w:r w:rsidRPr="003526BA">
        <w:rPr>
          <w:vertAlign w:val="subscript"/>
        </w:rPr>
        <w:t>2</w:t>
      </w:r>
      <w:r w:rsidRPr="003526BA">
        <w:t xml:space="preserve"> evaporation and after subsequent annealing. Also, the simulated cell data of the champion cell using Quokka 3 is shown.</w:t>
      </w:r>
    </w:p>
    <w:p w14:paraId="0B3B86BE" w14:textId="77777777" w:rsidR="00B97F5E" w:rsidRPr="003526BA" w:rsidRDefault="00B97F5E">
      <w:pPr>
        <w:pStyle w:val="Head1"/>
      </w:pPr>
      <w:r w:rsidRPr="003526BA">
        <w:lastRenderedPageBreak/>
        <w:t xml:space="preserve"> </w:t>
      </w:r>
      <w:r w:rsidRPr="003526BA">
        <w:tab/>
      </w:r>
    </w:p>
    <w:tbl>
      <w:tblPr>
        <w:tblW w:w="9182" w:type="dxa"/>
        <w:jc w:val="center"/>
        <w:tblCellMar>
          <w:left w:w="70" w:type="dxa"/>
          <w:right w:w="70" w:type="dxa"/>
        </w:tblCellMar>
        <w:tblLook w:val="04A0" w:firstRow="1" w:lastRow="0" w:firstColumn="1" w:lastColumn="0" w:noHBand="0" w:noVBand="1"/>
      </w:tblPr>
      <w:tblGrid>
        <w:gridCol w:w="991"/>
        <w:gridCol w:w="2070"/>
        <w:gridCol w:w="1416"/>
        <w:gridCol w:w="1134"/>
        <w:gridCol w:w="942"/>
        <w:gridCol w:w="765"/>
        <w:gridCol w:w="855"/>
        <w:gridCol w:w="1009"/>
      </w:tblGrid>
      <w:tr w:rsidR="00B97F5E" w:rsidRPr="003526BA" w14:paraId="617BBA84" w14:textId="77777777" w:rsidTr="00DC2A47">
        <w:trPr>
          <w:trHeight w:val="315"/>
          <w:jc w:val="center"/>
        </w:trPr>
        <w:tc>
          <w:tcPr>
            <w:tcW w:w="3061" w:type="dxa"/>
            <w:gridSpan w:val="2"/>
            <w:tcBorders>
              <w:top w:val="double" w:sz="6" w:space="0" w:color="auto"/>
              <w:left w:val="nil"/>
              <w:bottom w:val="single" w:sz="4" w:space="0" w:color="auto"/>
              <w:right w:val="nil"/>
            </w:tcBorders>
            <w:shd w:val="clear" w:color="auto" w:fill="auto"/>
            <w:noWrap/>
            <w:vAlign w:val="center"/>
            <w:hideMark/>
          </w:tcPr>
          <w:p w14:paraId="05ACD316" w14:textId="77777777" w:rsidR="00B97F5E" w:rsidRPr="00B85E14" w:rsidRDefault="00B97F5E" w:rsidP="00B85E14">
            <w:pPr>
              <w:jc w:val="center"/>
              <w:rPr>
                <w:sz w:val="16"/>
                <w:szCs w:val="16"/>
                <w:lang w:val="en-GB" w:eastAsia="de-DE"/>
              </w:rPr>
            </w:pPr>
          </w:p>
        </w:tc>
        <w:tc>
          <w:tcPr>
            <w:tcW w:w="1416" w:type="dxa"/>
            <w:tcBorders>
              <w:top w:val="double" w:sz="6" w:space="0" w:color="auto"/>
              <w:left w:val="nil"/>
              <w:bottom w:val="single" w:sz="4" w:space="0" w:color="auto"/>
              <w:right w:val="nil"/>
            </w:tcBorders>
            <w:shd w:val="clear" w:color="auto" w:fill="auto"/>
            <w:noWrap/>
            <w:vAlign w:val="center"/>
            <w:hideMark/>
          </w:tcPr>
          <w:p w14:paraId="522A9EF9" w14:textId="77777777" w:rsidR="00B97F5E" w:rsidRPr="00B85E14" w:rsidRDefault="00B97F5E" w:rsidP="00DC2A47">
            <w:pPr>
              <w:jc w:val="center"/>
              <w:rPr>
                <w:sz w:val="16"/>
                <w:szCs w:val="16"/>
                <w:lang w:eastAsia="de-DE"/>
              </w:rPr>
            </w:pPr>
            <w:r w:rsidRPr="00B85E14">
              <w:rPr>
                <w:sz w:val="16"/>
                <w:szCs w:val="16"/>
                <w:lang w:eastAsia="de-DE"/>
              </w:rPr>
              <w:t xml:space="preserve">Efficiency </w:t>
            </w:r>
            <w:r w:rsidRPr="00B85E14">
              <w:rPr>
                <w:i/>
                <w:iCs/>
                <w:sz w:val="16"/>
                <w:szCs w:val="16"/>
                <w:lang w:eastAsia="de-DE"/>
              </w:rPr>
              <w:t>η</w:t>
            </w:r>
            <w:r w:rsidRPr="00B85E14">
              <w:rPr>
                <w:sz w:val="16"/>
                <w:szCs w:val="16"/>
                <w:lang w:eastAsia="de-DE"/>
              </w:rPr>
              <w:t xml:space="preserve"> [%]</w:t>
            </w:r>
          </w:p>
        </w:tc>
        <w:tc>
          <w:tcPr>
            <w:tcW w:w="1134" w:type="dxa"/>
            <w:tcBorders>
              <w:top w:val="double" w:sz="6" w:space="0" w:color="auto"/>
              <w:left w:val="nil"/>
              <w:bottom w:val="single" w:sz="4" w:space="0" w:color="auto"/>
              <w:right w:val="nil"/>
            </w:tcBorders>
            <w:shd w:val="clear" w:color="auto" w:fill="auto"/>
            <w:noWrap/>
            <w:vAlign w:val="center"/>
            <w:hideMark/>
          </w:tcPr>
          <w:p w14:paraId="4821A833" w14:textId="77777777" w:rsidR="00B97F5E" w:rsidRPr="00B85E14" w:rsidRDefault="00B97F5E" w:rsidP="00DC2A47">
            <w:pPr>
              <w:jc w:val="center"/>
              <w:rPr>
                <w:sz w:val="16"/>
                <w:szCs w:val="16"/>
                <w:lang w:eastAsia="de-DE"/>
              </w:rPr>
            </w:pPr>
            <w:r w:rsidRPr="00B85E14">
              <w:rPr>
                <w:i/>
                <w:iCs/>
                <w:sz w:val="16"/>
                <w:szCs w:val="16"/>
                <w:lang w:eastAsia="de-DE"/>
              </w:rPr>
              <w:t>J</w:t>
            </w:r>
            <w:r w:rsidRPr="00B85E14">
              <w:rPr>
                <w:sz w:val="16"/>
                <w:szCs w:val="16"/>
                <w:vertAlign w:val="subscript"/>
                <w:lang w:eastAsia="de-DE"/>
              </w:rPr>
              <w:t>SC</w:t>
            </w:r>
            <w:r w:rsidRPr="00B85E14">
              <w:rPr>
                <w:sz w:val="16"/>
                <w:szCs w:val="16"/>
                <w:lang w:eastAsia="de-DE"/>
              </w:rPr>
              <w:t xml:space="preserve"> [mA/cm²]</w:t>
            </w:r>
          </w:p>
        </w:tc>
        <w:tc>
          <w:tcPr>
            <w:tcW w:w="942" w:type="dxa"/>
            <w:tcBorders>
              <w:top w:val="double" w:sz="6" w:space="0" w:color="auto"/>
              <w:left w:val="nil"/>
              <w:bottom w:val="single" w:sz="4" w:space="0" w:color="auto"/>
              <w:right w:val="nil"/>
            </w:tcBorders>
            <w:shd w:val="clear" w:color="auto" w:fill="auto"/>
            <w:noWrap/>
            <w:vAlign w:val="center"/>
            <w:hideMark/>
          </w:tcPr>
          <w:p w14:paraId="4E3E7C07" w14:textId="77777777" w:rsidR="00B97F5E" w:rsidRPr="00B85E14" w:rsidRDefault="00B97F5E" w:rsidP="00DC2A47">
            <w:pPr>
              <w:jc w:val="center"/>
              <w:rPr>
                <w:sz w:val="16"/>
                <w:szCs w:val="16"/>
                <w:lang w:eastAsia="de-DE"/>
              </w:rPr>
            </w:pPr>
            <w:r w:rsidRPr="00B85E14">
              <w:rPr>
                <w:i/>
                <w:iCs/>
                <w:sz w:val="16"/>
                <w:szCs w:val="16"/>
                <w:lang w:eastAsia="de-DE"/>
              </w:rPr>
              <w:t>V</w:t>
            </w:r>
            <w:r w:rsidRPr="00B85E14">
              <w:rPr>
                <w:sz w:val="16"/>
                <w:szCs w:val="16"/>
                <w:vertAlign w:val="subscript"/>
                <w:lang w:eastAsia="de-DE"/>
              </w:rPr>
              <w:t>OC</w:t>
            </w:r>
            <w:r w:rsidRPr="00B85E14">
              <w:rPr>
                <w:sz w:val="16"/>
                <w:szCs w:val="16"/>
                <w:lang w:eastAsia="de-DE"/>
              </w:rPr>
              <w:t xml:space="preserve"> [mV]</w:t>
            </w:r>
          </w:p>
        </w:tc>
        <w:tc>
          <w:tcPr>
            <w:tcW w:w="765" w:type="dxa"/>
            <w:tcBorders>
              <w:top w:val="double" w:sz="6" w:space="0" w:color="auto"/>
              <w:left w:val="nil"/>
              <w:bottom w:val="single" w:sz="4" w:space="0" w:color="auto"/>
              <w:right w:val="nil"/>
            </w:tcBorders>
            <w:shd w:val="clear" w:color="auto" w:fill="auto"/>
            <w:noWrap/>
            <w:vAlign w:val="center"/>
            <w:hideMark/>
          </w:tcPr>
          <w:p w14:paraId="4E28E7AB" w14:textId="77777777" w:rsidR="00B97F5E" w:rsidRPr="00B85E14" w:rsidRDefault="00B97F5E" w:rsidP="00DC2A47">
            <w:pPr>
              <w:jc w:val="center"/>
              <w:rPr>
                <w:sz w:val="16"/>
                <w:szCs w:val="16"/>
                <w:lang w:eastAsia="de-DE"/>
              </w:rPr>
            </w:pPr>
            <w:r w:rsidRPr="00B85E14">
              <w:rPr>
                <w:i/>
                <w:iCs/>
                <w:sz w:val="16"/>
                <w:szCs w:val="16"/>
                <w:lang w:eastAsia="de-DE"/>
              </w:rPr>
              <w:t>FF</w:t>
            </w:r>
            <w:r w:rsidRPr="00B85E14">
              <w:rPr>
                <w:sz w:val="16"/>
                <w:szCs w:val="16"/>
                <w:lang w:eastAsia="de-DE"/>
              </w:rPr>
              <w:t xml:space="preserve"> [%]</w:t>
            </w:r>
          </w:p>
        </w:tc>
        <w:tc>
          <w:tcPr>
            <w:tcW w:w="855" w:type="dxa"/>
            <w:tcBorders>
              <w:top w:val="double" w:sz="6" w:space="0" w:color="auto"/>
              <w:left w:val="nil"/>
              <w:bottom w:val="single" w:sz="4" w:space="0" w:color="auto"/>
              <w:right w:val="nil"/>
            </w:tcBorders>
            <w:shd w:val="clear" w:color="auto" w:fill="auto"/>
            <w:noWrap/>
            <w:vAlign w:val="center"/>
            <w:hideMark/>
          </w:tcPr>
          <w:p w14:paraId="124C5DC5" w14:textId="77777777" w:rsidR="00B97F5E" w:rsidRPr="00B85E14" w:rsidRDefault="00B97F5E" w:rsidP="00DC2A47">
            <w:pPr>
              <w:jc w:val="center"/>
              <w:rPr>
                <w:sz w:val="16"/>
                <w:szCs w:val="16"/>
                <w:lang w:eastAsia="de-DE"/>
              </w:rPr>
            </w:pPr>
            <w:r w:rsidRPr="00B85E14">
              <w:rPr>
                <w:i/>
                <w:iCs/>
                <w:sz w:val="16"/>
                <w:szCs w:val="16"/>
                <w:lang w:eastAsia="de-DE"/>
              </w:rPr>
              <w:t>pFF</w:t>
            </w:r>
            <w:r w:rsidRPr="00B85E14">
              <w:rPr>
                <w:sz w:val="16"/>
                <w:szCs w:val="16"/>
                <w:lang w:eastAsia="de-DE"/>
              </w:rPr>
              <w:t xml:space="preserve"> [%]</w:t>
            </w:r>
          </w:p>
        </w:tc>
        <w:tc>
          <w:tcPr>
            <w:tcW w:w="1009" w:type="dxa"/>
            <w:tcBorders>
              <w:top w:val="double" w:sz="6" w:space="0" w:color="auto"/>
              <w:left w:val="nil"/>
              <w:bottom w:val="single" w:sz="4" w:space="0" w:color="auto"/>
              <w:right w:val="nil"/>
            </w:tcBorders>
            <w:shd w:val="clear" w:color="auto" w:fill="auto"/>
            <w:noWrap/>
            <w:vAlign w:val="center"/>
            <w:hideMark/>
          </w:tcPr>
          <w:p w14:paraId="16B60F75" w14:textId="77777777" w:rsidR="00B97F5E" w:rsidRPr="00B85E14" w:rsidRDefault="00B97F5E" w:rsidP="00DC2A47">
            <w:pPr>
              <w:jc w:val="center"/>
              <w:rPr>
                <w:i/>
                <w:iCs/>
                <w:sz w:val="16"/>
                <w:szCs w:val="16"/>
                <w:lang w:eastAsia="de-DE"/>
              </w:rPr>
            </w:pPr>
            <w:r w:rsidRPr="00B85E14">
              <w:rPr>
                <w:i/>
                <w:iCs/>
                <w:sz w:val="16"/>
                <w:szCs w:val="16"/>
                <w:lang w:eastAsia="de-DE"/>
              </w:rPr>
              <w:t>R</w:t>
            </w:r>
            <w:r w:rsidRPr="00B85E14">
              <w:rPr>
                <w:sz w:val="16"/>
                <w:szCs w:val="16"/>
                <w:vertAlign w:val="subscript"/>
                <w:lang w:eastAsia="de-DE"/>
              </w:rPr>
              <w:t>S</w:t>
            </w:r>
            <w:r w:rsidRPr="00B85E14">
              <w:rPr>
                <w:i/>
                <w:iCs/>
                <w:sz w:val="16"/>
                <w:szCs w:val="16"/>
                <w:lang w:eastAsia="de-DE"/>
              </w:rPr>
              <w:t xml:space="preserve"> </w:t>
            </w:r>
            <w:r w:rsidRPr="00B85E14">
              <w:rPr>
                <w:sz w:val="16"/>
                <w:szCs w:val="16"/>
                <w:lang w:eastAsia="de-DE"/>
              </w:rPr>
              <w:t>[Ω cm]</w:t>
            </w:r>
          </w:p>
        </w:tc>
      </w:tr>
      <w:tr w:rsidR="00B97F5E" w:rsidRPr="003526BA" w14:paraId="7E766B43" w14:textId="77777777" w:rsidTr="00DC2A47">
        <w:trPr>
          <w:trHeight w:val="330"/>
          <w:jc w:val="center"/>
        </w:trPr>
        <w:tc>
          <w:tcPr>
            <w:tcW w:w="991" w:type="dxa"/>
            <w:vMerge w:val="restart"/>
            <w:tcBorders>
              <w:top w:val="nil"/>
              <w:left w:val="nil"/>
              <w:bottom w:val="single" w:sz="4" w:space="0" w:color="000000"/>
              <w:right w:val="nil"/>
            </w:tcBorders>
            <w:shd w:val="clear" w:color="auto" w:fill="auto"/>
            <w:textDirection w:val="btLr"/>
            <w:vAlign w:val="center"/>
            <w:hideMark/>
          </w:tcPr>
          <w:p w14:paraId="62AF50F0" w14:textId="77777777" w:rsidR="00B97F5E" w:rsidRPr="00B85E14" w:rsidRDefault="00B97F5E" w:rsidP="00DC2A47">
            <w:pPr>
              <w:jc w:val="center"/>
              <w:rPr>
                <w:sz w:val="16"/>
                <w:szCs w:val="16"/>
                <w:lang w:eastAsia="de-DE"/>
              </w:rPr>
            </w:pPr>
            <w:r w:rsidRPr="00B85E14">
              <w:rPr>
                <w:sz w:val="16"/>
                <w:szCs w:val="16"/>
                <w:lang w:eastAsia="de-DE"/>
              </w:rPr>
              <w:t>Test cell</w:t>
            </w:r>
          </w:p>
        </w:tc>
        <w:tc>
          <w:tcPr>
            <w:tcW w:w="2070" w:type="dxa"/>
            <w:tcBorders>
              <w:top w:val="nil"/>
              <w:left w:val="nil"/>
              <w:bottom w:val="nil"/>
              <w:right w:val="single" w:sz="4" w:space="0" w:color="auto"/>
            </w:tcBorders>
            <w:shd w:val="clear" w:color="auto" w:fill="auto"/>
            <w:noWrap/>
            <w:vAlign w:val="center"/>
            <w:hideMark/>
          </w:tcPr>
          <w:p w14:paraId="7AC0F21B" w14:textId="77777777" w:rsidR="00B97F5E" w:rsidRPr="00B85E14" w:rsidRDefault="00B97F5E" w:rsidP="00DC2A47">
            <w:pPr>
              <w:jc w:val="center"/>
              <w:rPr>
                <w:sz w:val="16"/>
                <w:szCs w:val="16"/>
                <w:lang w:eastAsia="de-DE"/>
              </w:rPr>
            </w:pPr>
            <w:r w:rsidRPr="00B85E14">
              <w:rPr>
                <w:sz w:val="16"/>
                <w:szCs w:val="16"/>
                <w:lang w:eastAsia="de-DE"/>
              </w:rPr>
              <w:t>Before MgF</w:t>
            </w:r>
            <w:r w:rsidRPr="00B85E14">
              <w:rPr>
                <w:sz w:val="16"/>
                <w:szCs w:val="16"/>
                <w:vertAlign w:val="subscript"/>
                <w:lang w:eastAsia="de-DE"/>
              </w:rPr>
              <w:t>2</w:t>
            </w:r>
            <w:r w:rsidRPr="00B85E14">
              <w:rPr>
                <w:sz w:val="16"/>
                <w:szCs w:val="16"/>
                <w:lang w:eastAsia="de-DE"/>
              </w:rPr>
              <w:t xml:space="preserve"> evaporation</w:t>
            </w:r>
          </w:p>
        </w:tc>
        <w:tc>
          <w:tcPr>
            <w:tcW w:w="1416" w:type="dxa"/>
            <w:tcBorders>
              <w:top w:val="nil"/>
              <w:left w:val="nil"/>
              <w:bottom w:val="nil"/>
              <w:right w:val="nil"/>
            </w:tcBorders>
            <w:shd w:val="clear" w:color="auto" w:fill="auto"/>
            <w:noWrap/>
            <w:vAlign w:val="center"/>
            <w:hideMark/>
          </w:tcPr>
          <w:p w14:paraId="5714FDBA" w14:textId="77777777" w:rsidR="00B97F5E" w:rsidRPr="00B85E14" w:rsidRDefault="00B97F5E" w:rsidP="00DC2A47">
            <w:pPr>
              <w:jc w:val="center"/>
              <w:rPr>
                <w:sz w:val="16"/>
                <w:szCs w:val="16"/>
                <w:lang w:eastAsia="de-DE"/>
              </w:rPr>
            </w:pPr>
            <w:r w:rsidRPr="00B85E14">
              <w:rPr>
                <w:sz w:val="16"/>
                <w:szCs w:val="16"/>
                <w:lang w:eastAsia="de-DE"/>
              </w:rPr>
              <w:t>23.1</w:t>
            </w:r>
          </w:p>
        </w:tc>
        <w:tc>
          <w:tcPr>
            <w:tcW w:w="1134" w:type="dxa"/>
            <w:tcBorders>
              <w:top w:val="nil"/>
              <w:left w:val="nil"/>
              <w:bottom w:val="nil"/>
              <w:right w:val="nil"/>
            </w:tcBorders>
            <w:shd w:val="clear" w:color="auto" w:fill="auto"/>
            <w:noWrap/>
            <w:vAlign w:val="center"/>
            <w:hideMark/>
          </w:tcPr>
          <w:p w14:paraId="5B56B597" w14:textId="77777777" w:rsidR="00B97F5E" w:rsidRPr="00B85E14" w:rsidRDefault="00B97F5E" w:rsidP="00DC2A47">
            <w:pPr>
              <w:jc w:val="center"/>
              <w:rPr>
                <w:sz w:val="16"/>
                <w:szCs w:val="16"/>
                <w:lang w:eastAsia="de-DE"/>
              </w:rPr>
            </w:pPr>
            <w:r w:rsidRPr="00B85E14">
              <w:rPr>
                <w:sz w:val="16"/>
                <w:szCs w:val="16"/>
                <w:lang w:eastAsia="de-DE"/>
              </w:rPr>
              <w:t>40.0</w:t>
            </w:r>
          </w:p>
        </w:tc>
        <w:tc>
          <w:tcPr>
            <w:tcW w:w="942" w:type="dxa"/>
            <w:tcBorders>
              <w:top w:val="nil"/>
              <w:left w:val="nil"/>
              <w:bottom w:val="nil"/>
              <w:right w:val="nil"/>
            </w:tcBorders>
            <w:shd w:val="clear" w:color="auto" w:fill="auto"/>
            <w:noWrap/>
            <w:vAlign w:val="center"/>
            <w:hideMark/>
          </w:tcPr>
          <w:p w14:paraId="288146B6" w14:textId="77777777" w:rsidR="00B97F5E" w:rsidRPr="00B85E14" w:rsidRDefault="00B97F5E" w:rsidP="00DC2A47">
            <w:pPr>
              <w:jc w:val="center"/>
              <w:rPr>
                <w:sz w:val="16"/>
                <w:szCs w:val="16"/>
                <w:lang w:eastAsia="de-DE"/>
              </w:rPr>
            </w:pPr>
            <w:r w:rsidRPr="00B85E14">
              <w:rPr>
                <w:sz w:val="16"/>
                <w:szCs w:val="16"/>
                <w:lang w:eastAsia="de-DE"/>
              </w:rPr>
              <w:t>716</w:t>
            </w:r>
          </w:p>
        </w:tc>
        <w:tc>
          <w:tcPr>
            <w:tcW w:w="765" w:type="dxa"/>
            <w:tcBorders>
              <w:top w:val="nil"/>
              <w:left w:val="nil"/>
              <w:bottom w:val="nil"/>
              <w:right w:val="nil"/>
            </w:tcBorders>
            <w:shd w:val="clear" w:color="auto" w:fill="auto"/>
            <w:noWrap/>
            <w:vAlign w:val="center"/>
            <w:hideMark/>
          </w:tcPr>
          <w:p w14:paraId="02827A54" w14:textId="77777777" w:rsidR="00B97F5E" w:rsidRPr="00B85E14" w:rsidRDefault="00B97F5E" w:rsidP="00DC2A47">
            <w:pPr>
              <w:jc w:val="center"/>
              <w:rPr>
                <w:sz w:val="16"/>
                <w:szCs w:val="16"/>
                <w:lang w:eastAsia="de-DE"/>
              </w:rPr>
            </w:pPr>
            <w:r w:rsidRPr="00B85E14">
              <w:rPr>
                <w:sz w:val="16"/>
                <w:szCs w:val="16"/>
                <w:lang w:eastAsia="de-DE"/>
              </w:rPr>
              <w:t>80.5</w:t>
            </w:r>
          </w:p>
        </w:tc>
        <w:tc>
          <w:tcPr>
            <w:tcW w:w="855" w:type="dxa"/>
            <w:tcBorders>
              <w:top w:val="nil"/>
              <w:left w:val="nil"/>
              <w:bottom w:val="nil"/>
              <w:right w:val="nil"/>
            </w:tcBorders>
            <w:shd w:val="clear" w:color="auto" w:fill="auto"/>
            <w:noWrap/>
            <w:vAlign w:val="center"/>
            <w:hideMark/>
          </w:tcPr>
          <w:p w14:paraId="629BA38F" w14:textId="77777777" w:rsidR="00B97F5E" w:rsidRPr="00B85E14" w:rsidRDefault="00B97F5E" w:rsidP="00DC2A47">
            <w:pPr>
              <w:jc w:val="center"/>
              <w:rPr>
                <w:sz w:val="16"/>
                <w:szCs w:val="16"/>
                <w:lang w:eastAsia="de-DE"/>
              </w:rPr>
            </w:pPr>
            <w:r w:rsidRPr="00B85E14">
              <w:rPr>
                <w:sz w:val="16"/>
                <w:szCs w:val="16"/>
                <w:lang w:eastAsia="de-DE"/>
              </w:rPr>
              <w:t>84.1</w:t>
            </w:r>
          </w:p>
        </w:tc>
        <w:tc>
          <w:tcPr>
            <w:tcW w:w="1009" w:type="dxa"/>
            <w:tcBorders>
              <w:top w:val="nil"/>
              <w:left w:val="nil"/>
              <w:bottom w:val="nil"/>
              <w:right w:val="nil"/>
            </w:tcBorders>
            <w:shd w:val="clear" w:color="auto" w:fill="auto"/>
            <w:noWrap/>
            <w:vAlign w:val="center"/>
            <w:hideMark/>
          </w:tcPr>
          <w:p w14:paraId="07DE83E4" w14:textId="77777777" w:rsidR="00B97F5E" w:rsidRPr="00B85E14" w:rsidRDefault="00B97F5E" w:rsidP="00DC2A47">
            <w:pPr>
              <w:jc w:val="center"/>
              <w:rPr>
                <w:sz w:val="16"/>
                <w:szCs w:val="16"/>
                <w:lang w:eastAsia="de-DE"/>
              </w:rPr>
            </w:pPr>
            <w:r w:rsidRPr="00B85E14">
              <w:rPr>
                <w:sz w:val="16"/>
                <w:szCs w:val="16"/>
                <w:lang w:eastAsia="de-DE"/>
              </w:rPr>
              <w:t>0.757</w:t>
            </w:r>
          </w:p>
        </w:tc>
      </w:tr>
      <w:tr w:rsidR="00B97F5E" w:rsidRPr="003526BA" w14:paraId="680C9B4B" w14:textId="77777777" w:rsidTr="00DC2A47">
        <w:trPr>
          <w:trHeight w:val="300"/>
          <w:jc w:val="center"/>
        </w:trPr>
        <w:tc>
          <w:tcPr>
            <w:tcW w:w="991" w:type="dxa"/>
            <w:vMerge/>
            <w:tcBorders>
              <w:top w:val="nil"/>
              <w:left w:val="nil"/>
              <w:bottom w:val="single" w:sz="4" w:space="0" w:color="000000"/>
              <w:right w:val="nil"/>
            </w:tcBorders>
            <w:vAlign w:val="center"/>
            <w:hideMark/>
          </w:tcPr>
          <w:p w14:paraId="1FFDD457" w14:textId="77777777" w:rsidR="00B97F5E" w:rsidRPr="00B85E14" w:rsidRDefault="00B97F5E" w:rsidP="00B85E14">
            <w:pPr>
              <w:jc w:val="center"/>
              <w:rPr>
                <w:sz w:val="16"/>
                <w:szCs w:val="16"/>
                <w:lang w:eastAsia="de-DE"/>
              </w:rPr>
            </w:pPr>
          </w:p>
        </w:tc>
        <w:tc>
          <w:tcPr>
            <w:tcW w:w="2070" w:type="dxa"/>
            <w:tcBorders>
              <w:top w:val="nil"/>
              <w:left w:val="nil"/>
              <w:bottom w:val="nil"/>
              <w:right w:val="single" w:sz="4" w:space="0" w:color="auto"/>
            </w:tcBorders>
            <w:shd w:val="clear" w:color="auto" w:fill="auto"/>
            <w:noWrap/>
            <w:vAlign w:val="center"/>
            <w:hideMark/>
          </w:tcPr>
          <w:p w14:paraId="67C7CFC4" w14:textId="77777777" w:rsidR="00B97F5E" w:rsidRPr="00B85E14" w:rsidRDefault="00B97F5E" w:rsidP="00DC2A47">
            <w:pPr>
              <w:jc w:val="center"/>
              <w:rPr>
                <w:sz w:val="16"/>
                <w:szCs w:val="16"/>
                <w:lang w:eastAsia="de-DE"/>
              </w:rPr>
            </w:pPr>
            <w:r w:rsidRPr="00B85E14">
              <w:rPr>
                <w:sz w:val="16"/>
                <w:szCs w:val="16"/>
                <w:lang w:eastAsia="de-DE"/>
              </w:rPr>
              <w:t>After MgF</w:t>
            </w:r>
            <w:r w:rsidRPr="00B85E14">
              <w:rPr>
                <w:sz w:val="16"/>
                <w:szCs w:val="16"/>
                <w:vertAlign w:val="subscript"/>
                <w:lang w:eastAsia="de-DE"/>
              </w:rPr>
              <w:t>2</w:t>
            </w:r>
            <w:r w:rsidRPr="00B85E14">
              <w:rPr>
                <w:sz w:val="16"/>
                <w:szCs w:val="16"/>
                <w:lang w:eastAsia="de-DE"/>
              </w:rPr>
              <w:t xml:space="preserve"> evaporation</w:t>
            </w:r>
          </w:p>
        </w:tc>
        <w:tc>
          <w:tcPr>
            <w:tcW w:w="1416" w:type="dxa"/>
            <w:tcBorders>
              <w:top w:val="nil"/>
              <w:left w:val="nil"/>
              <w:bottom w:val="nil"/>
              <w:right w:val="nil"/>
            </w:tcBorders>
            <w:shd w:val="clear" w:color="auto" w:fill="auto"/>
            <w:noWrap/>
            <w:vAlign w:val="center"/>
            <w:hideMark/>
          </w:tcPr>
          <w:p w14:paraId="777A7AF3" w14:textId="77777777" w:rsidR="00B97F5E" w:rsidRPr="00B85E14" w:rsidRDefault="00B97F5E" w:rsidP="00DC2A47">
            <w:pPr>
              <w:jc w:val="center"/>
              <w:rPr>
                <w:sz w:val="16"/>
                <w:szCs w:val="16"/>
                <w:lang w:eastAsia="de-DE"/>
              </w:rPr>
            </w:pPr>
            <w:r w:rsidRPr="00B85E14">
              <w:rPr>
                <w:sz w:val="16"/>
                <w:szCs w:val="16"/>
                <w:lang w:eastAsia="de-DE"/>
              </w:rPr>
              <w:t>22.6</w:t>
            </w:r>
          </w:p>
        </w:tc>
        <w:tc>
          <w:tcPr>
            <w:tcW w:w="1134" w:type="dxa"/>
            <w:tcBorders>
              <w:top w:val="nil"/>
              <w:left w:val="nil"/>
              <w:bottom w:val="nil"/>
              <w:right w:val="nil"/>
            </w:tcBorders>
            <w:shd w:val="clear" w:color="auto" w:fill="auto"/>
            <w:noWrap/>
            <w:vAlign w:val="center"/>
            <w:hideMark/>
          </w:tcPr>
          <w:p w14:paraId="30CBB9EF" w14:textId="77777777" w:rsidR="00B97F5E" w:rsidRPr="00B85E14" w:rsidRDefault="00B97F5E" w:rsidP="00DC2A47">
            <w:pPr>
              <w:jc w:val="center"/>
              <w:rPr>
                <w:sz w:val="16"/>
                <w:szCs w:val="16"/>
                <w:lang w:eastAsia="de-DE"/>
              </w:rPr>
            </w:pPr>
            <w:r w:rsidRPr="00B85E14">
              <w:rPr>
                <w:sz w:val="16"/>
                <w:szCs w:val="16"/>
                <w:lang w:eastAsia="de-DE"/>
              </w:rPr>
              <w:t>40.2</w:t>
            </w:r>
          </w:p>
        </w:tc>
        <w:tc>
          <w:tcPr>
            <w:tcW w:w="942" w:type="dxa"/>
            <w:tcBorders>
              <w:top w:val="nil"/>
              <w:left w:val="nil"/>
              <w:bottom w:val="nil"/>
              <w:right w:val="nil"/>
            </w:tcBorders>
            <w:shd w:val="clear" w:color="auto" w:fill="auto"/>
            <w:noWrap/>
            <w:vAlign w:val="center"/>
            <w:hideMark/>
          </w:tcPr>
          <w:p w14:paraId="12A8D0D5" w14:textId="77777777" w:rsidR="00B97F5E" w:rsidRPr="00B85E14" w:rsidRDefault="00B97F5E" w:rsidP="00DC2A47">
            <w:pPr>
              <w:jc w:val="center"/>
              <w:rPr>
                <w:sz w:val="16"/>
                <w:szCs w:val="16"/>
                <w:lang w:eastAsia="de-DE"/>
              </w:rPr>
            </w:pPr>
            <w:r w:rsidRPr="00B85E14">
              <w:rPr>
                <w:sz w:val="16"/>
                <w:szCs w:val="16"/>
                <w:lang w:eastAsia="de-DE"/>
              </w:rPr>
              <w:t>710</w:t>
            </w:r>
          </w:p>
        </w:tc>
        <w:tc>
          <w:tcPr>
            <w:tcW w:w="765" w:type="dxa"/>
            <w:tcBorders>
              <w:top w:val="nil"/>
              <w:left w:val="nil"/>
              <w:bottom w:val="nil"/>
              <w:right w:val="nil"/>
            </w:tcBorders>
            <w:shd w:val="clear" w:color="auto" w:fill="auto"/>
            <w:noWrap/>
            <w:vAlign w:val="center"/>
            <w:hideMark/>
          </w:tcPr>
          <w:p w14:paraId="71602809" w14:textId="77777777" w:rsidR="00B97F5E" w:rsidRPr="00B85E14" w:rsidRDefault="00B97F5E" w:rsidP="00DC2A47">
            <w:pPr>
              <w:jc w:val="center"/>
              <w:rPr>
                <w:sz w:val="16"/>
                <w:szCs w:val="16"/>
                <w:lang w:eastAsia="de-DE"/>
              </w:rPr>
            </w:pPr>
            <w:r w:rsidRPr="00B85E14">
              <w:rPr>
                <w:sz w:val="16"/>
                <w:szCs w:val="16"/>
                <w:lang w:eastAsia="de-DE"/>
              </w:rPr>
              <w:t>79.3</w:t>
            </w:r>
          </w:p>
        </w:tc>
        <w:tc>
          <w:tcPr>
            <w:tcW w:w="855" w:type="dxa"/>
            <w:tcBorders>
              <w:top w:val="nil"/>
              <w:left w:val="nil"/>
              <w:bottom w:val="nil"/>
              <w:right w:val="nil"/>
            </w:tcBorders>
            <w:shd w:val="clear" w:color="auto" w:fill="auto"/>
            <w:noWrap/>
            <w:vAlign w:val="center"/>
            <w:hideMark/>
          </w:tcPr>
          <w:p w14:paraId="10ECC501" w14:textId="77777777" w:rsidR="00B97F5E" w:rsidRPr="00B85E14" w:rsidRDefault="00B97F5E" w:rsidP="00DC2A47">
            <w:pPr>
              <w:jc w:val="center"/>
              <w:rPr>
                <w:sz w:val="16"/>
                <w:szCs w:val="16"/>
                <w:lang w:eastAsia="de-DE"/>
              </w:rPr>
            </w:pPr>
            <w:r w:rsidRPr="00B85E14">
              <w:rPr>
                <w:sz w:val="16"/>
                <w:szCs w:val="16"/>
                <w:lang w:eastAsia="de-DE"/>
              </w:rPr>
              <w:t>82.9</w:t>
            </w:r>
          </w:p>
        </w:tc>
        <w:tc>
          <w:tcPr>
            <w:tcW w:w="1009" w:type="dxa"/>
            <w:tcBorders>
              <w:top w:val="nil"/>
              <w:left w:val="nil"/>
              <w:bottom w:val="nil"/>
              <w:right w:val="nil"/>
            </w:tcBorders>
            <w:shd w:val="clear" w:color="auto" w:fill="auto"/>
            <w:noWrap/>
            <w:vAlign w:val="center"/>
            <w:hideMark/>
          </w:tcPr>
          <w:p w14:paraId="664E61D8" w14:textId="77777777" w:rsidR="00B97F5E" w:rsidRPr="00B85E14" w:rsidRDefault="00B97F5E" w:rsidP="00DC2A47">
            <w:pPr>
              <w:jc w:val="center"/>
              <w:rPr>
                <w:sz w:val="16"/>
                <w:szCs w:val="16"/>
                <w:lang w:eastAsia="de-DE"/>
              </w:rPr>
            </w:pPr>
            <w:r w:rsidRPr="00B85E14">
              <w:rPr>
                <w:sz w:val="16"/>
                <w:szCs w:val="16"/>
                <w:lang w:eastAsia="de-DE"/>
              </w:rPr>
              <w:t>0.791</w:t>
            </w:r>
          </w:p>
        </w:tc>
      </w:tr>
      <w:tr w:rsidR="00B97F5E" w:rsidRPr="003526BA" w14:paraId="0619C97D" w14:textId="77777777" w:rsidTr="00DC2A47">
        <w:trPr>
          <w:trHeight w:val="330"/>
          <w:jc w:val="center"/>
        </w:trPr>
        <w:tc>
          <w:tcPr>
            <w:tcW w:w="991" w:type="dxa"/>
            <w:vMerge/>
            <w:tcBorders>
              <w:top w:val="nil"/>
              <w:left w:val="nil"/>
              <w:bottom w:val="single" w:sz="4" w:space="0" w:color="000000"/>
              <w:right w:val="nil"/>
            </w:tcBorders>
            <w:vAlign w:val="center"/>
            <w:hideMark/>
          </w:tcPr>
          <w:p w14:paraId="46AE87CE" w14:textId="77777777" w:rsidR="00B97F5E" w:rsidRPr="00B85E14" w:rsidRDefault="00B97F5E" w:rsidP="00B85E14">
            <w:pPr>
              <w:jc w:val="center"/>
              <w:rPr>
                <w:sz w:val="16"/>
                <w:szCs w:val="16"/>
                <w:lang w:eastAsia="de-DE"/>
              </w:rPr>
            </w:pPr>
          </w:p>
        </w:tc>
        <w:tc>
          <w:tcPr>
            <w:tcW w:w="2070" w:type="dxa"/>
            <w:tcBorders>
              <w:top w:val="nil"/>
              <w:left w:val="nil"/>
              <w:bottom w:val="single" w:sz="4" w:space="0" w:color="auto"/>
              <w:right w:val="single" w:sz="4" w:space="0" w:color="auto"/>
            </w:tcBorders>
            <w:shd w:val="clear" w:color="auto" w:fill="auto"/>
            <w:noWrap/>
            <w:vAlign w:val="center"/>
            <w:hideMark/>
          </w:tcPr>
          <w:p w14:paraId="309CB178" w14:textId="77777777" w:rsidR="00B97F5E" w:rsidRPr="00B85E14" w:rsidRDefault="00B97F5E" w:rsidP="00DC2A47">
            <w:pPr>
              <w:jc w:val="center"/>
              <w:rPr>
                <w:sz w:val="16"/>
                <w:szCs w:val="16"/>
                <w:lang w:eastAsia="de-DE"/>
              </w:rPr>
            </w:pPr>
            <w:r w:rsidRPr="00B85E14">
              <w:rPr>
                <w:sz w:val="16"/>
                <w:szCs w:val="16"/>
                <w:lang w:eastAsia="de-DE"/>
              </w:rPr>
              <w:t>After annealing</w:t>
            </w:r>
          </w:p>
        </w:tc>
        <w:tc>
          <w:tcPr>
            <w:tcW w:w="1416" w:type="dxa"/>
            <w:tcBorders>
              <w:top w:val="nil"/>
              <w:left w:val="nil"/>
              <w:bottom w:val="single" w:sz="4" w:space="0" w:color="auto"/>
              <w:right w:val="nil"/>
            </w:tcBorders>
            <w:shd w:val="clear" w:color="auto" w:fill="auto"/>
            <w:noWrap/>
            <w:vAlign w:val="center"/>
            <w:hideMark/>
          </w:tcPr>
          <w:p w14:paraId="065114F3" w14:textId="77777777" w:rsidR="00B97F5E" w:rsidRPr="00B85E14" w:rsidRDefault="00B97F5E" w:rsidP="00DC2A47">
            <w:pPr>
              <w:jc w:val="center"/>
              <w:rPr>
                <w:sz w:val="16"/>
                <w:szCs w:val="16"/>
                <w:lang w:eastAsia="de-DE"/>
              </w:rPr>
            </w:pPr>
            <w:r w:rsidRPr="00B85E14">
              <w:rPr>
                <w:sz w:val="16"/>
                <w:szCs w:val="16"/>
                <w:lang w:eastAsia="de-DE"/>
              </w:rPr>
              <w:t>23.5</w:t>
            </w:r>
          </w:p>
        </w:tc>
        <w:tc>
          <w:tcPr>
            <w:tcW w:w="1134" w:type="dxa"/>
            <w:tcBorders>
              <w:top w:val="nil"/>
              <w:left w:val="nil"/>
              <w:bottom w:val="single" w:sz="4" w:space="0" w:color="auto"/>
              <w:right w:val="nil"/>
            </w:tcBorders>
            <w:shd w:val="clear" w:color="auto" w:fill="auto"/>
            <w:noWrap/>
            <w:vAlign w:val="center"/>
            <w:hideMark/>
          </w:tcPr>
          <w:p w14:paraId="6F9D6546" w14:textId="77777777" w:rsidR="00B97F5E" w:rsidRPr="00B85E14" w:rsidRDefault="00B97F5E" w:rsidP="00DC2A47">
            <w:pPr>
              <w:jc w:val="center"/>
              <w:rPr>
                <w:sz w:val="16"/>
                <w:szCs w:val="16"/>
                <w:lang w:eastAsia="de-DE"/>
              </w:rPr>
            </w:pPr>
            <w:r w:rsidRPr="00B85E14">
              <w:rPr>
                <w:sz w:val="16"/>
                <w:szCs w:val="16"/>
                <w:lang w:eastAsia="de-DE"/>
              </w:rPr>
              <w:t>40.52</w:t>
            </w:r>
          </w:p>
        </w:tc>
        <w:tc>
          <w:tcPr>
            <w:tcW w:w="942" w:type="dxa"/>
            <w:tcBorders>
              <w:top w:val="nil"/>
              <w:left w:val="nil"/>
              <w:bottom w:val="single" w:sz="4" w:space="0" w:color="auto"/>
              <w:right w:val="nil"/>
            </w:tcBorders>
            <w:shd w:val="clear" w:color="auto" w:fill="auto"/>
            <w:noWrap/>
            <w:vAlign w:val="center"/>
            <w:hideMark/>
          </w:tcPr>
          <w:p w14:paraId="044314B6" w14:textId="77777777" w:rsidR="00B97F5E" w:rsidRPr="00B85E14" w:rsidRDefault="00B97F5E" w:rsidP="00DC2A47">
            <w:pPr>
              <w:jc w:val="center"/>
              <w:rPr>
                <w:sz w:val="16"/>
                <w:szCs w:val="16"/>
                <w:lang w:eastAsia="de-DE"/>
              </w:rPr>
            </w:pPr>
            <w:r w:rsidRPr="00B85E14">
              <w:rPr>
                <w:sz w:val="16"/>
                <w:szCs w:val="16"/>
                <w:lang w:eastAsia="de-DE"/>
              </w:rPr>
              <w:t>718</w:t>
            </w:r>
          </w:p>
        </w:tc>
        <w:tc>
          <w:tcPr>
            <w:tcW w:w="765" w:type="dxa"/>
            <w:tcBorders>
              <w:top w:val="nil"/>
              <w:left w:val="nil"/>
              <w:bottom w:val="single" w:sz="4" w:space="0" w:color="auto"/>
              <w:right w:val="nil"/>
            </w:tcBorders>
            <w:shd w:val="clear" w:color="auto" w:fill="auto"/>
            <w:noWrap/>
            <w:vAlign w:val="center"/>
            <w:hideMark/>
          </w:tcPr>
          <w:p w14:paraId="1C7E3B59" w14:textId="77777777" w:rsidR="00B97F5E" w:rsidRPr="00B85E14" w:rsidRDefault="00B97F5E" w:rsidP="00DC2A47">
            <w:pPr>
              <w:jc w:val="center"/>
              <w:rPr>
                <w:sz w:val="16"/>
                <w:szCs w:val="16"/>
                <w:lang w:eastAsia="de-DE"/>
              </w:rPr>
            </w:pPr>
            <w:r w:rsidRPr="00B85E14">
              <w:rPr>
                <w:sz w:val="16"/>
                <w:szCs w:val="16"/>
                <w:lang w:eastAsia="de-DE"/>
              </w:rPr>
              <w:t>80.7</w:t>
            </w:r>
          </w:p>
        </w:tc>
        <w:tc>
          <w:tcPr>
            <w:tcW w:w="855" w:type="dxa"/>
            <w:tcBorders>
              <w:top w:val="nil"/>
              <w:left w:val="nil"/>
              <w:bottom w:val="single" w:sz="4" w:space="0" w:color="auto"/>
              <w:right w:val="nil"/>
            </w:tcBorders>
            <w:shd w:val="clear" w:color="auto" w:fill="auto"/>
            <w:noWrap/>
            <w:vAlign w:val="center"/>
            <w:hideMark/>
          </w:tcPr>
          <w:p w14:paraId="31B785C6" w14:textId="77777777" w:rsidR="00B97F5E" w:rsidRPr="00B85E14" w:rsidRDefault="00B97F5E" w:rsidP="00DC2A47">
            <w:pPr>
              <w:jc w:val="center"/>
              <w:rPr>
                <w:sz w:val="16"/>
                <w:szCs w:val="16"/>
                <w:lang w:eastAsia="de-DE"/>
              </w:rPr>
            </w:pPr>
            <w:r w:rsidRPr="00B85E14">
              <w:rPr>
                <w:sz w:val="16"/>
                <w:szCs w:val="16"/>
                <w:lang w:eastAsia="de-DE"/>
              </w:rPr>
              <w:t>84</w:t>
            </w:r>
          </w:p>
        </w:tc>
        <w:tc>
          <w:tcPr>
            <w:tcW w:w="1009" w:type="dxa"/>
            <w:tcBorders>
              <w:top w:val="nil"/>
              <w:left w:val="nil"/>
              <w:bottom w:val="single" w:sz="4" w:space="0" w:color="auto"/>
              <w:right w:val="nil"/>
            </w:tcBorders>
            <w:shd w:val="clear" w:color="auto" w:fill="auto"/>
            <w:noWrap/>
            <w:vAlign w:val="center"/>
            <w:hideMark/>
          </w:tcPr>
          <w:p w14:paraId="6893B87F" w14:textId="77777777" w:rsidR="00B97F5E" w:rsidRPr="00B85E14" w:rsidRDefault="00B97F5E" w:rsidP="00DC2A47">
            <w:pPr>
              <w:jc w:val="center"/>
              <w:rPr>
                <w:sz w:val="16"/>
                <w:szCs w:val="16"/>
                <w:lang w:eastAsia="de-DE"/>
              </w:rPr>
            </w:pPr>
            <w:r w:rsidRPr="00B85E14">
              <w:rPr>
                <w:sz w:val="16"/>
                <w:szCs w:val="16"/>
                <w:lang w:eastAsia="de-DE"/>
              </w:rPr>
              <w:t>0.693</w:t>
            </w:r>
          </w:p>
        </w:tc>
      </w:tr>
      <w:tr w:rsidR="00B97F5E" w:rsidRPr="003526BA" w14:paraId="60178D35" w14:textId="77777777" w:rsidTr="00DC2A47">
        <w:trPr>
          <w:trHeight w:val="330"/>
          <w:jc w:val="center"/>
        </w:trPr>
        <w:tc>
          <w:tcPr>
            <w:tcW w:w="991" w:type="dxa"/>
            <w:vMerge w:val="restart"/>
            <w:tcBorders>
              <w:top w:val="nil"/>
              <w:left w:val="nil"/>
              <w:bottom w:val="double" w:sz="6" w:space="0" w:color="000000"/>
              <w:right w:val="nil"/>
            </w:tcBorders>
            <w:shd w:val="clear" w:color="auto" w:fill="auto"/>
            <w:textDirection w:val="btLr"/>
            <w:vAlign w:val="center"/>
            <w:hideMark/>
          </w:tcPr>
          <w:p w14:paraId="265382B9" w14:textId="77777777" w:rsidR="00B97F5E" w:rsidRPr="00B85E14" w:rsidRDefault="00B97F5E" w:rsidP="00DC2A47">
            <w:pPr>
              <w:jc w:val="center"/>
              <w:rPr>
                <w:sz w:val="16"/>
                <w:szCs w:val="16"/>
                <w:lang w:eastAsia="de-DE"/>
              </w:rPr>
            </w:pPr>
            <w:r w:rsidRPr="00B85E14">
              <w:rPr>
                <w:sz w:val="16"/>
                <w:szCs w:val="16"/>
                <w:lang w:eastAsia="de-DE"/>
              </w:rPr>
              <w:t>Champion cell</w:t>
            </w:r>
          </w:p>
        </w:tc>
        <w:tc>
          <w:tcPr>
            <w:tcW w:w="2070" w:type="dxa"/>
            <w:tcBorders>
              <w:top w:val="nil"/>
              <w:left w:val="nil"/>
              <w:bottom w:val="nil"/>
              <w:right w:val="single" w:sz="4" w:space="0" w:color="auto"/>
            </w:tcBorders>
            <w:shd w:val="clear" w:color="auto" w:fill="auto"/>
            <w:noWrap/>
            <w:vAlign w:val="center"/>
            <w:hideMark/>
          </w:tcPr>
          <w:p w14:paraId="6CCAC387" w14:textId="77777777" w:rsidR="00B97F5E" w:rsidRPr="00B85E14" w:rsidRDefault="00B97F5E" w:rsidP="00DC2A47">
            <w:pPr>
              <w:jc w:val="center"/>
              <w:rPr>
                <w:sz w:val="16"/>
                <w:szCs w:val="16"/>
                <w:lang w:eastAsia="de-DE"/>
              </w:rPr>
            </w:pPr>
            <w:r w:rsidRPr="00B85E14">
              <w:rPr>
                <w:sz w:val="16"/>
                <w:szCs w:val="16"/>
                <w:lang w:eastAsia="de-DE"/>
              </w:rPr>
              <w:t>Before MgF</w:t>
            </w:r>
            <w:r w:rsidRPr="00B85E14">
              <w:rPr>
                <w:sz w:val="16"/>
                <w:szCs w:val="16"/>
                <w:vertAlign w:val="subscript"/>
                <w:lang w:eastAsia="de-DE"/>
              </w:rPr>
              <w:t>2</w:t>
            </w:r>
            <w:r w:rsidRPr="00B85E14">
              <w:rPr>
                <w:sz w:val="16"/>
                <w:szCs w:val="16"/>
                <w:lang w:eastAsia="de-DE"/>
              </w:rPr>
              <w:t xml:space="preserve"> evaporation</w:t>
            </w:r>
          </w:p>
        </w:tc>
        <w:tc>
          <w:tcPr>
            <w:tcW w:w="1416" w:type="dxa"/>
            <w:tcBorders>
              <w:top w:val="nil"/>
              <w:left w:val="nil"/>
              <w:bottom w:val="nil"/>
              <w:right w:val="nil"/>
            </w:tcBorders>
            <w:shd w:val="clear" w:color="auto" w:fill="auto"/>
            <w:noWrap/>
            <w:vAlign w:val="center"/>
            <w:hideMark/>
          </w:tcPr>
          <w:p w14:paraId="39BC0775" w14:textId="77777777" w:rsidR="00B97F5E" w:rsidRPr="00B85E14" w:rsidRDefault="00B97F5E" w:rsidP="00DC2A47">
            <w:pPr>
              <w:jc w:val="center"/>
              <w:rPr>
                <w:sz w:val="16"/>
                <w:szCs w:val="16"/>
                <w:lang w:eastAsia="de-DE"/>
              </w:rPr>
            </w:pPr>
            <w:r w:rsidRPr="00B85E14">
              <w:rPr>
                <w:sz w:val="16"/>
                <w:szCs w:val="16"/>
                <w:lang w:eastAsia="de-DE"/>
              </w:rPr>
              <w:t>23.6</w:t>
            </w:r>
          </w:p>
        </w:tc>
        <w:tc>
          <w:tcPr>
            <w:tcW w:w="1134" w:type="dxa"/>
            <w:tcBorders>
              <w:top w:val="nil"/>
              <w:left w:val="nil"/>
              <w:bottom w:val="nil"/>
              <w:right w:val="nil"/>
            </w:tcBorders>
            <w:shd w:val="clear" w:color="auto" w:fill="auto"/>
            <w:noWrap/>
            <w:vAlign w:val="center"/>
            <w:hideMark/>
          </w:tcPr>
          <w:p w14:paraId="7D76DF41" w14:textId="77777777" w:rsidR="00B97F5E" w:rsidRPr="00B85E14" w:rsidRDefault="00B97F5E" w:rsidP="00DC2A47">
            <w:pPr>
              <w:jc w:val="center"/>
              <w:rPr>
                <w:sz w:val="16"/>
                <w:szCs w:val="16"/>
                <w:lang w:eastAsia="de-DE"/>
              </w:rPr>
            </w:pPr>
            <w:r w:rsidRPr="00B85E14">
              <w:rPr>
                <w:sz w:val="16"/>
                <w:szCs w:val="16"/>
                <w:lang w:eastAsia="de-DE"/>
              </w:rPr>
              <w:t>40.1</w:t>
            </w:r>
          </w:p>
        </w:tc>
        <w:tc>
          <w:tcPr>
            <w:tcW w:w="942" w:type="dxa"/>
            <w:tcBorders>
              <w:top w:val="nil"/>
              <w:left w:val="nil"/>
              <w:bottom w:val="nil"/>
              <w:right w:val="nil"/>
            </w:tcBorders>
            <w:shd w:val="clear" w:color="auto" w:fill="auto"/>
            <w:noWrap/>
            <w:vAlign w:val="center"/>
            <w:hideMark/>
          </w:tcPr>
          <w:p w14:paraId="545FB2F4" w14:textId="77777777" w:rsidR="00B97F5E" w:rsidRPr="00B85E14" w:rsidRDefault="00B97F5E" w:rsidP="00DC2A47">
            <w:pPr>
              <w:jc w:val="center"/>
              <w:rPr>
                <w:sz w:val="16"/>
                <w:szCs w:val="16"/>
                <w:lang w:eastAsia="de-DE"/>
              </w:rPr>
            </w:pPr>
            <w:r w:rsidRPr="00B85E14">
              <w:rPr>
                <w:sz w:val="16"/>
                <w:szCs w:val="16"/>
                <w:lang w:eastAsia="de-DE"/>
              </w:rPr>
              <w:t>727</w:t>
            </w:r>
          </w:p>
        </w:tc>
        <w:tc>
          <w:tcPr>
            <w:tcW w:w="765" w:type="dxa"/>
            <w:tcBorders>
              <w:top w:val="nil"/>
              <w:left w:val="nil"/>
              <w:bottom w:val="nil"/>
              <w:right w:val="nil"/>
            </w:tcBorders>
            <w:shd w:val="clear" w:color="auto" w:fill="auto"/>
            <w:noWrap/>
            <w:vAlign w:val="center"/>
            <w:hideMark/>
          </w:tcPr>
          <w:p w14:paraId="76611BAB" w14:textId="77777777" w:rsidR="00B97F5E" w:rsidRPr="00B85E14" w:rsidRDefault="00B97F5E" w:rsidP="00DC2A47">
            <w:pPr>
              <w:jc w:val="center"/>
              <w:rPr>
                <w:sz w:val="16"/>
                <w:szCs w:val="16"/>
                <w:lang w:eastAsia="de-DE"/>
              </w:rPr>
            </w:pPr>
            <w:r w:rsidRPr="00B85E14">
              <w:rPr>
                <w:sz w:val="16"/>
                <w:szCs w:val="16"/>
                <w:lang w:eastAsia="de-DE"/>
              </w:rPr>
              <w:t>80.8</w:t>
            </w:r>
          </w:p>
        </w:tc>
        <w:tc>
          <w:tcPr>
            <w:tcW w:w="855" w:type="dxa"/>
            <w:tcBorders>
              <w:top w:val="nil"/>
              <w:left w:val="nil"/>
              <w:bottom w:val="nil"/>
              <w:right w:val="nil"/>
            </w:tcBorders>
            <w:shd w:val="clear" w:color="auto" w:fill="auto"/>
            <w:noWrap/>
            <w:vAlign w:val="center"/>
            <w:hideMark/>
          </w:tcPr>
          <w:p w14:paraId="066F77F2" w14:textId="77777777" w:rsidR="00B97F5E" w:rsidRPr="00B85E14" w:rsidRDefault="00B97F5E" w:rsidP="00DC2A47">
            <w:pPr>
              <w:jc w:val="center"/>
              <w:rPr>
                <w:sz w:val="16"/>
                <w:szCs w:val="16"/>
                <w:lang w:eastAsia="de-DE"/>
              </w:rPr>
            </w:pPr>
            <w:r w:rsidRPr="00B85E14">
              <w:rPr>
                <w:sz w:val="16"/>
                <w:szCs w:val="16"/>
                <w:lang w:eastAsia="de-DE"/>
              </w:rPr>
              <w:t>83.9</w:t>
            </w:r>
          </w:p>
        </w:tc>
        <w:tc>
          <w:tcPr>
            <w:tcW w:w="1009" w:type="dxa"/>
            <w:tcBorders>
              <w:top w:val="nil"/>
              <w:left w:val="nil"/>
              <w:bottom w:val="nil"/>
              <w:right w:val="nil"/>
            </w:tcBorders>
            <w:shd w:val="clear" w:color="auto" w:fill="auto"/>
            <w:noWrap/>
            <w:vAlign w:val="center"/>
            <w:hideMark/>
          </w:tcPr>
          <w:p w14:paraId="7D592619" w14:textId="77777777" w:rsidR="00B97F5E" w:rsidRPr="00B85E14" w:rsidRDefault="00B97F5E" w:rsidP="00DC2A47">
            <w:pPr>
              <w:jc w:val="center"/>
              <w:rPr>
                <w:sz w:val="16"/>
                <w:szCs w:val="16"/>
                <w:lang w:eastAsia="de-DE"/>
              </w:rPr>
            </w:pPr>
            <w:r w:rsidRPr="00B85E14">
              <w:rPr>
                <w:sz w:val="16"/>
                <w:szCs w:val="16"/>
                <w:lang w:eastAsia="de-DE"/>
              </w:rPr>
              <w:t>0.731</w:t>
            </w:r>
          </w:p>
        </w:tc>
      </w:tr>
      <w:tr w:rsidR="00B97F5E" w:rsidRPr="003526BA" w14:paraId="2D2B4E9C" w14:textId="77777777" w:rsidTr="00DC2A47">
        <w:trPr>
          <w:trHeight w:val="300"/>
          <w:jc w:val="center"/>
        </w:trPr>
        <w:tc>
          <w:tcPr>
            <w:tcW w:w="991" w:type="dxa"/>
            <w:vMerge/>
            <w:tcBorders>
              <w:top w:val="nil"/>
              <w:left w:val="nil"/>
              <w:bottom w:val="double" w:sz="6" w:space="0" w:color="000000"/>
              <w:right w:val="nil"/>
            </w:tcBorders>
            <w:vAlign w:val="center"/>
            <w:hideMark/>
          </w:tcPr>
          <w:p w14:paraId="02911B7A" w14:textId="77777777" w:rsidR="00B97F5E" w:rsidRPr="00B85E14" w:rsidRDefault="00B97F5E" w:rsidP="00B85E14">
            <w:pPr>
              <w:jc w:val="center"/>
              <w:rPr>
                <w:sz w:val="16"/>
                <w:szCs w:val="16"/>
                <w:lang w:eastAsia="de-DE"/>
              </w:rPr>
            </w:pPr>
          </w:p>
        </w:tc>
        <w:tc>
          <w:tcPr>
            <w:tcW w:w="2070" w:type="dxa"/>
            <w:tcBorders>
              <w:top w:val="nil"/>
              <w:left w:val="nil"/>
              <w:bottom w:val="nil"/>
              <w:right w:val="single" w:sz="4" w:space="0" w:color="auto"/>
            </w:tcBorders>
            <w:shd w:val="clear" w:color="auto" w:fill="auto"/>
            <w:noWrap/>
            <w:vAlign w:val="center"/>
            <w:hideMark/>
          </w:tcPr>
          <w:p w14:paraId="13D7B60B" w14:textId="77777777" w:rsidR="00B97F5E" w:rsidRPr="00B85E14" w:rsidRDefault="00B97F5E" w:rsidP="00DC2A47">
            <w:pPr>
              <w:jc w:val="center"/>
              <w:rPr>
                <w:sz w:val="16"/>
                <w:szCs w:val="16"/>
                <w:lang w:eastAsia="de-DE"/>
              </w:rPr>
            </w:pPr>
            <w:r w:rsidRPr="00B85E14">
              <w:rPr>
                <w:sz w:val="16"/>
                <w:szCs w:val="16"/>
                <w:lang w:eastAsia="de-DE"/>
              </w:rPr>
              <w:t>After MgF</w:t>
            </w:r>
            <w:r w:rsidRPr="00B85E14">
              <w:rPr>
                <w:sz w:val="16"/>
                <w:szCs w:val="16"/>
                <w:vertAlign w:val="subscript"/>
                <w:lang w:eastAsia="de-DE"/>
              </w:rPr>
              <w:t>2</w:t>
            </w:r>
            <w:r w:rsidRPr="00B85E14">
              <w:rPr>
                <w:sz w:val="16"/>
                <w:szCs w:val="16"/>
                <w:lang w:eastAsia="de-DE"/>
              </w:rPr>
              <w:t xml:space="preserve"> evaporation</w:t>
            </w:r>
          </w:p>
        </w:tc>
        <w:tc>
          <w:tcPr>
            <w:tcW w:w="1416" w:type="dxa"/>
            <w:tcBorders>
              <w:top w:val="nil"/>
              <w:left w:val="nil"/>
              <w:bottom w:val="nil"/>
              <w:right w:val="nil"/>
            </w:tcBorders>
            <w:shd w:val="clear" w:color="auto" w:fill="auto"/>
            <w:noWrap/>
            <w:vAlign w:val="center"/>
            <w:hideMark/>
          </w:tcPr>
          <w:p w14:paraId="556F899B" w14:textId="77777777" w:rsidR="00B97F5E" w:rsidRPr="00B85E14" w:rsidRDefault="00B97F5E" w:rsidP="00DC2A47">
            <w:pPr>
              <w:jc w:val="center"/>
              <w:rPr>
                <w:sz w:val="16"/>
                <w:szCs w:val="16"/>
                <w:lang w:eastAsia="de-DE"/>
              </w:rPr>
            </w:pPr>
            <w:r w:rsidRPr="00B85E14">
              <w:rPr>
                <w:sz w:val="16"/>
                <w:szCs w:val="16"/>
                <w:lang w:eastAsia="de-DE"/>
              </w:rPr>
              <w:t>23.8</w:t>
            </w:r>
          </w:p>
        </w:tc>
        <w:tc>
          <w:tcPr>
            <w:tcW w:w="1134" w:type="dxa"/>
            <w:tcBorders>
              <w:top w:val="nil"/>
              <w:left w:val="nil"/>
              <w:bottom w:val="nil"/>
              <w:right w:val="nil"/>
            </w:tcBorders>
            <w:shd w:val="clear" w:color="auto" w:fill="auto"/>
            <w:noWrap/>
            <w:vAlign w:val="center"/>
            <w:hideMark/>
          </w:tcPr>
          <w:p w14:paraId="32FEE656" w14:textId="77777777" w:rsidR="00B97F5E" w:rsidRPr="00B85E14" w:rsidRDefault="00B97F5E" w:rsidP="00DC2A47">
            <w:pPr>
              <w:jc w:val="center"/>
              <w:rPr>
                <w:sz w:val="16"/>
                <w:szCs w:val="16"/>
                <w:lang w:eastAsia="de-DE"/>
              </w:rPr>
            </w:pPr>
            <w:r w:rsidRPr="00B85E14">
              <w:rPr>
                <w:sz w:val="16"/>
                <w:szCs w:val="16"/>
                <w:lang w:eastAsia="de-DE"/>
              </w:rPr>
              <w:t>40.9</w:t>
            </w:r>
          </w:p>
        </w:tc>
        <w:tc>
          <w:tcPr>
            <w:tcW w:w="942" w:type="dxa"/>
            <w:tcBorders>
              <w:top w:val="nil"/>
              <w:left w:val="nil"/>
              <w:bottom w:val="nil"/>
              <w:right w:val="nil"/>
            </w:tcBorders>
            <w:shd w:val="clear" w:color="auto" w:fill="auto"/>
            <w:noWrap/>
            <w:vAlign w:val="center"/>
            <w:hideMark/>
          </w:tcPr>
          <w:p w14:paraId="77D741B6" w14:textId="77777777" w:rsidR="00B97F5E" w:rsidRPr="00B85E14" w:rsidRDefault="00B97F5E" w:rsidP="00DC2A47">
            <w:pPr>
              <w:jc w:val="center"/>
              <w:rPr>
                <w:sz w:val="16"/>
                <w:szCs w:val="16"/>
                <w:lang w:eastAsia="de-DE"/>
              </w:rPr>
            </w:pPr>
            <w:r w:rsidRPr="00B85E14">
              <w:rPr>
                <w:sz w:val="16"/>
                <w:szCs w:val="16"/>
                <w:lang w:eastAsia="de-DE"/>
              </w:rPr>
              <w:t>723</w:t>
            </w:r>
          </w:p>
        </w:tc>
        <w:tc>
          <w:tcPr>
            <w:tcW w:w="765" w:type="dxa"/>
            <w:tcBorders>
              <w:top w:val="nil"/>
              <w:left w:val="nil"/>
              <w:bottom w:val="nil"/>
              <w:right w:val="nil"/>
            </w:tcBorders>
            <w:shd w:val="clear" w:color="auto" w:fill="auto"/>
            <w:noWrap/>
            <w:vAlign w:val="center"/>
            <w:hideMark/>
          </w:tcPr>
          <w:p w14:paraId="1800E678" w14:textId="77777777" w:rsidR="00B97F5E" w:rsidRPr="00B85E14" w:rsidRDefault="00B97F5E" w:rsidP="00DC2A47">
            <w:pPr>
              <w:jc w:val="center"/>
              <w:rPr>
                <w:sz w:val="16"/>
                <w:szCs w:val="16"/>
                <w:lang w:eastAsia="de-DE"/>
              </w:rPr>
            </w:pPr>
            <w:r w:rsidRPr="00B85E14">
              <w:rPr>
                <w:sz w:val="16"/>
                <w:szCs w:val="16"/>
                <w:lang w:eastAsia="de-DE"/>
              </w:rPr>
              <w:t>80.4</w:t>
            </w:r>
          </w:p>
        </w:tc>
        <w:tc>
          <w:tcPr>
            <w:tcW w:w="855" w:type="dxa"/>
            <w:tcBorders>
              <w:top w:val="nil"/>
              <w:left w:val="nil"/>
              <w:bottom w:val="nil"/>
              <w:right w:val="nil"/>
            </w:tcBorders>
            <w:shd w:val="clear" w:color="auto" w:fill="auto"/>
            <w:noWrap/>
            <w:vAlign w:val="center"/>
            <w:hideMark/>
          </w:tcPr>
          <w:p w14:paraId="75964D1A" w14:textId="77777777" w:rsidR="00B97F5E" w:rsidRPr="00B85E14" w:rsidRDefault="00B97F5E" w:rsidP="00DC2A47">
            <w:pPr>
              <w:jc w:val="center"/>
              <w:rPr>
                <w:sz w:val="16"/>
                <w:szCs w:val="16"/>
                <w:lang w:eastAsia="de-DE"/>
              </w:rPr>
            </w:pPr>
            <w:r w:rsidRPr="00B85E14">
              <w:rPr>
                <w:sz w:val="16"/>
                <w:szCs w:val="16"/>
                <w:lang w:eastAsia="de-DE"/>
              </w:rPr>
              <w:t>83.8</w:t>
            </w:r>
          </w:p>
        </w:tc>
        <w:tc>
          <w:tcPr>
            <w:tcW w:w="1009" w:type="dxa"/>
            <w:tcBorders>
              <w:top w:val="nil"/>
              <w:left w:val="nil"/>
              <w:bottom w:val="nil"/>
              <w:right w:val="nil"/>
            </w:tcBorders>
            <w:shd w:val="clear" w:color="auto" w:fill="auto"/>
            <w:noWrap/>
            <w:vAlign w:val="center"/>
            <w:hideMark/>
          </w:tcPr>
          <w:p w14:paraId="2218D18A" w14:textId="77777777" w:rsidR="00B97F5E" w:rsidRPr="00B85E14" w:rsidRDefault="00B97F5E" w:rsidP="00DC2A47">
            <w:pPr>
              <w:jc w:val="center"/>
              <w:rPr>
                <w:sz w:val="16"/>
                <w:szCs w:val="16"/>
                <w:lang w:eastAsia="de-DE"/>
              </w:rPr>
            </w:pPr>
            <w:r w:rsidRPr="00B85E14">
              <w:rPr>
                <w:sz w:val="16"/>
                <w:szCs w:val="16"/>
                <w:lang w:eastAsia="de-DE"/>
              </w:rPr>
              <w:t>0.732</w:t>
            </w:r>
          </w:p>
        </w:tc>
      </w:tr>
      <w:tr w:rsidR="00B97F5E" w:rsidRPr="003526BA" w14:paraId="3665C3CD" w14:textId="77777777" w:rsidTr="00DC2A47">
        <w:trPr>
          <w:trHeight w:val="315"/>
          <w:jc w:val="center"/>
        </w:trPr>
        <w:tc>
          <w:tcPr>
            <w:tcW w:w="991" w:type="dxa"/>
            <w:vMerge/>
            <w:tcBorders>
              <w:top w:val="nil"/>
              <w:left w:val="nil"/>
              <w:bottom w:val="single" w:sz="4" w:space="0" w:color="auto"/>
              <w:right w:val="nil"/>
            </w:tcBorders>
            <w:vAlign w:val="center"/>
            <w:hideMark/>
          </w:tcPr>
          <w:p w14:paraId="71738857" w14:textId="77777777" w:rsidR="00B97F5E" w:rsidRPr="00B85E14" w:rsidRDefault="00B97F5E" w:rsidP="00B85E14">
            <w:pPr>
              <w:jc w:val="center"/>
              <w:rPr>
                <w:sz w:val="16"/>
                <w:szCs w:val="16"/>
                <w:lang w:eastAsia="de-DE"/>
              </w:rPr>
            </w:pPr>
          </w:p>
        </w:tc>
        <w:tc>
          <w:tcPr>
            <w:tcW w:w="2070" w:type="dxa"/>
            <w:tcBorders>
              <w:top w:val="nil"/>
              <w:left w:val="nil"/>
              <w:bottom w:val="single" w:sz="4" w:space="0" w:color="auto"/>
              <w:right w:val="single" w:sz="4" w:space="0" w:color="auto"/>
            </w:tcBorders>
            <w:shd w:val="clear" w:color="auto" w:fill="auto"/>
            <w:noWrap/>
            <w:vAlign w:val="center"/>
            <w:hideMark/>
          </w:tcPr>
          <w:p w14:paraId="7842715B" w14:textId="77777777" w:rsidR="00B97F5E" w:rsidRPr="00B85E14" w:rsidRDefault="00B97F5E" w:rsidP="00DC2A47">
            <w:pPr>
              <w:jc w:val="center"/>
              <w:rPr>
                <w:sz w:val="16"/>
                <w:szCs w:val="16"/>
                <w:lang w:eastAsia="de-DE"/>
              </w:rPr>
            </w:pPr>
            <w:r w:rsidRPr="00B85E14">
              <w:rPr>
                <w:sz w:val="16"/>
                <w:szCs w:val="16"/>
                <w:lang w:eastAsia="de-DE"/>
              </w:rPr>
              <w:t>After annealing</w:t>
            </w:r>
          </w:p>
        </w:tc>
        <w:tc>
          <w:tcPr>
            <w:tcW w:w="1416" w:type="dxa"/>
            <w:tcBorders>
              <w:top w:val="nil"/>
              <w:left w:val="nil"/>
              <w:bottom w:val="single" w:sz="4" w:space="0" w:color="auto"/>
              <w:right w:val="nil"/>
            </w:tcBorders>
            <w:shd w:val="clear" w:color="auto" w:fill="auto"/>
            <w:noWrap/>
            <w:vAlign w:val="center"/>
            <w:hideMark/>
          </w:tcPr>
          <w:p w14:paraId="2803A4B9" w14:textId="77777777" w:rsidR="00B97F5E" w:rsidRPr="00B85E14" w:rsidRDefault="00B97F5E" w:rsidP="00DC2A47">
            <w:pPr>
              <w:jc w:val="center"/>
              <w:rPr>
                <w:sz w:val="16"/>
                <w:szCs w:val="16"/>
                <w:lang w:eastAsia="de-DE"/>
              </w:rPr>
            </w:pPr>
            <w:r w:rsidRPr="00B85E14">
              <w:rPr>
                <w:sz w:val="16"/>
                <w:szCs w:val="16"/>
                <w:lang w:eastAsia="de-DE"/>
              </w:rPr>
              <w:t>24.0</w:t>
            </w:r>
          </w:p>
        </w:tc>
        <w:tc>
          <w:tcPr>
            <w:tcW w:w="1134" w:type="dxa"/>
            <w:tcBorders>
              <w:top w:val="nil"/>
              <w:left w:val="nil"/>
              <w:bottom w:val="single" w:sz="4" w:space="0" w:color="auto"/>
              <w:right w:val="nil"/>
            </w:tcBorders>
            <w:shd w:val="clear" w:color="auto" w:fill="auto"/>
            <w:noWrap/>
            <w:vAlign w:val="center"/>
            <w:hideMark/>
          </w:tcPr>
          <w:p w14:paraId="2ED32001" w14:textId="77777777" w:rsidR="00B97F5E" w:rsidRPr="00B85E14" w:rsidRDefault="00B97F5E" w:rsidP="00DC2A47">
            <w:pPr>
              <w:jc w:val="center"/>
              <w:rPr>
                <w:sz w:val="16"/>
                <w:szCs w:val="16"/>
                <w:lang w:eastAsia="de-DE"/>
              </w:rPr>
            </w:pPr>
            <w:r w:rsidRPr="00B85E14">
              <w:rPr>
                <w:sz w:val="16"/>
                <w:szCs w:val="16"/>
                <w:lang w:eastAsia="de-DE"/>
              </w:rPr>
              <w:t>40.9</w:t>
            </w:r>
          </w:p>
        </w:tc>
        <w:tc>
          <w:tcPr>
            <w:tcW w:w="942" w:type="dxa"/>
            <w:tcBorders>
              <w:top w:val="nil"/>
              <w:left w:val="nil"/>
              <w:bottom w:val="single" w:sz="4" w:space="0" w:color="auto"/>
              <w:right w:val="nil"/>
            </w:tcBorders>
            <w:shd w:val="clear" w:color="auto" w:fill="auto"/>
            <w:noWrap/>
            <w:vAlign w:val="center"/>
            <w:hideMark/>
          </w:tcPr>
          <w:p w14:paraId="747F952F" w14:textId="77777777" w:rsidR="00B97F5E" w:rsidRPr="00B85E14" w:rsidRDefault="00B97F5E" w:rsidP="00DC2A47">
            <w:pPr>
              <w:jc w:val="center"/>
              <w:rPr>
                <w:sz w:val="16"/>
                <w:szCs w:val="16"/>
                <w:lang w:eastAsia="de-DE"/>
              </w:rPr>
            </w:pPr>
            <w:r w:rsidRPr="00B85E14">
              <w:rPr>
                <w:sz w:val="16"/>
                <w:szCs w:val="16"/>
                <w:lang w:eastAsia="de-DE"/>
              </w:rPr>
              <w:t>726</w:t>
            </w:r>
          </w:p>
        </w:tc>
        <w:tc>
          <w:tcPr>
            <w:tcW w:w="765" w:type="dxa"/>
            <w:tcBorders>
              <w:top w:val="nil"/>
              <w:left w:val="nil"/>
              <w:bottom w:val="single" w:sz="4" w:space="0" w:color="auto"/>
              <w:right w:val="nil"/>
            </w:tcBorders>
            <w:shd w:val="clear" w:color="auto" w:fill="auto"/>
            <w:noWrap/>
            <w:vAlign w:val="center"/>
            <w:hideMark/>
          </w:tcPr>
          <w:p w14:paraId="5D8B2F92" w14:textId="77777777" w:rsidR="00B97F5E" w:rsidRPr="00B85E14" w:rsidRDefault="00B97F5E" w:rsidP="00DC2A47">
            <w:pPr>
              <w:jc w:val="center"/>
              <w:rPr>
                <w:sz w:val="16"/>
                <w:szCs w:val="16"/>
                <w:lang w:eastAsia="de-DE"/>
              </w:rPr>
            </w:pPr>
            <w:r w:rsidRPr="00B85E14">
              <w:rPr>
                <w:sz w:val="16"/>
                <w:szCs w:val="16"/>
                <w:lang w:eastAsia="de-DE"/>
              </w:rPr>
              <w:t>80.7</w:t>
            </w:r>
          </w:p>
        </w:tc>
        <w:tc>
          <w:tcPr>
            <w:tcW w:w="855" w:type="dxa"/>
            <w:tcBorders>
              <w:top w:val="nil"/>
              <w:left w:val="nil"/>
              <w:bottom w:val="single" w:sz="4" w:space="0" w:color="auto"/>
              <w:right w:val="nil"/>
            </w:tcBorders>
            <w:shd w:val="clear" w:color="auto" w:fill="auto"/>
            <w:noWrap/>
            <w:vAlign w:val="center"/>
            <w:hideMark/>
          </w:tcPr>
          <w:p w14:paraId="3FACEBDA" w14:textId="77777777" w:rsidR="00B97F5E" w:rsidRPr="00B85E14" w:rsidRDefault="00B97F5E" w:rsidP="00DC2A47">
            <w:pPr>
              <w:jc w:val="center"/>
              <w:rPr>
                <w:sz w:val="16"/>
                <w:szCs w:val="16"/>
                <w:lang w:eastAsia="de-DE"/>
              </w:rPr>
            </w:pPr>
            <w:r w:rsidRPr="00B85E14">
              <w:rPr>
                <w:sz w:val="16"/>
                <w:szCs w:val="16"/>
                <w:lang w:eastAsia="de-DE"/>
              </w:rPr>
              <w:t>83.8</w:t>
            </w:r>
          </w:p>
        </w:tc>
        <w:tc>
          <w:tcPr>
            <w:tcW w:w="1009" w:type="dxa"/>
            <w:tcBorders>
              <w:top w:val="nil"/>
              <w:left w:val="nil"/>
              <w:bottom w:val="single" w:sz="4" w:space="0" w:color="auto"/>
              <w:right w:val="nil"/>
            </w:tcBorders>
            <w:shd w:val="clear" w:color="auto" w:fill="auto"/>
            <w:noWrap/>
            <w:vAlign w:val="center"/>
            <w:hideMark/>
          </w:tcPr>
          <w:p w14:paraId="67E0CEAD" w14:textId="77777777" w:rsidR="00B97F5E" w:rsidRPr="00B85E14" w:rsidRDefault="00B97F5E" w:rsidP="00DC2A47">
            <w:pPr>
              <w:jc w:val="center"/>
              <w:rPr>
                <w:sz w:val="16"/>
                <w:szCs w:val="16"/>
                <w:lang w:eastAsia="de-DE"/>
              </w:rPr>
            </w:pPr>
            <w:r w:rsidRPr="00B85E14">
              <w:rPr>
                <w:sz w:val="16"/>
                <w:szCs w:val="16"/>
                <w:lang w:eastAsia="de-DE"/>
              </w:rPr>
              <w:t>0.684</w:t>
            </w:r>
          </w:p>
        </w:tc>
      </w:tr>
      <w:tr w:rsidR="00B97F5E" w:rsidRPr="003526BA" w14:paraId="1F29A47D" w14:textId="77777777" w:rsidTr="00DC2A47">
        <w:trPr>
          <w:trHeight w:val="315"/>
          <w:jc w:val="center"/>
        </w:trPr>
        <w:tc>
          <w:tcPr>
            <w:tcW w:w="3061" w:type="dxa"/>
            <w:gridSpan w:val="2"/>
            <w:tcBorders>
              <w:top w:val="single" w:sz="4" w:space="0" w:color="auto"/>
              <w:left w:val="nil"/>
              <w:bottom w:val="double" w:sz="6" w:space="0" w:color="000000"/>
              <w:right w:val="single" w:sz="4" w:space="0" w:color="auto"/>
            </w:tcBorders>
            <w:vAlign w:val="center"/>
          </w:tcPr>
          <w:p w14:paraId="79155A19" w14:textId="77777777" w:rsidR="00B97F5E" w:rsidRPr="00B85E14" w:rsidRDefault="00B97F5E" w:rsidP="00DC2A47">
            <w:pPr>
              <w:jc w:val="center"/>
              <w:rPr>
                <w:sz w:val="16"/>
                <w:szCs w:val="16"/>
                <w:lang w:eastAsia="de-DE"/>
              </w:rPr>
            </w:pPr>
            <w:r w:rsidRPr="00B85E14">
              <w:rPr>
                <w:sz w:val="16"/>
                <w:szCs w:val="16"/>
                <w:lang w:eastAsia="de-DE"/>
              </w:rPr>
              <w:t>Simulated champion cell (Quokka 3)</w:t>
            </w:r>
          </w:p>
        </w:tc>
        <w:tc>
          <w:tcPr>
            <w:tcW w:w="1416" w:type="dxa"/>
            <w:tcBorders>
              <w:top w:val="single" w:sz="4" w:space="0" w:color="auto"/>
              <w:left w:val="nil"/>
              <w:bottom w:val="double" w:sz="6" w:space="0" w:color="auto"/>
              <w:right w:val="nil"/>
            </w:tcBorders>
            <w:shd w:val="clear" w:color="auto" w:fill="auto"/>
            <w:noWrap/>
            <w:vAlign w:val="center"/>
          </w:tcPr>
          <w:p w14:paraId="432E6DFD" w14:textId="77777777" w:rsidR="00B97F5E" w:rsidRPr="00B85E14" w:rsidRDefault="00B97F5E" w:rsidP="00DC2A47">
            <w:pPr>
              <w:jc w:val="center"/>
              <w:rPr>
                <w:sz w:val="16"/>
                <w:szCs w:val="16"/>
                <w:lang w:eastAsia="de-DE"/>
              </w:rPr>
            </w:pPr>
            <w:r w:rsidRPr="00B85E14">
              <w:rPr>
                <w:sz w:val="16"/>
                <w:szCs w:val="16"/>
                <w:lang w:eastAsia="de-DE"/>
              </w:rPr>
              <w:t>23.88</w:t>
            </w:r>
          </w:p>
        </w:tc>
        <w:tc>
          <w:tcPr>
            <w:tcW w:w="1134" w:type="dxa"/>
            <w:tcBorders>
              <w:top w:val="single" w:sz="4" w:space="0" w:color="auto"/>
              <w:left w:val="nil"/>
              <w:bottom w:val="double" w:sz="6" w:space="0" w:color="auto"/>
              <w:right w:val="nil"/>
            </w:tcBorders>
            <w:shd w:val="clear" w:color="auto" w:fill="auto"/>
            <w:noWrap/>
            <w:vAlign w:val="center"/>
          </w:tcPr>
          <w:p w14:paraId="673E54F4" w14:textId="77777777" w:rsidR="00B97F5E" w:rsidRPr="00B85E14" w:rsidRDefault="00B97F5E" w:rsidP="00DC2A47">
            <w:pPr>
              <w:jc w:val="center"/>
              <w:rPr>
                <w:sz w:val="16"/>
                <w:szCs w:val="16"/>
                <w:lang w:eastAsia="de-DE"/>
              </w:rPr>
            </w:pPr>
            <w:r w:rsidRPr="00B85E14">
              <w:rPr>
                <w:sz w:val="16"/>
                <w:szCs w:val="16"/>
                <w:lang w:eastAsia="de-DE"/>
              </w:rPr>
              <w:t>40.9</w:t>
            </w:r>
          </w:p>
        </w:tc>
        <w:tc>
          <w:tcPr>
            <w:tcW w:w="942" w:type="dxa"/>
            <w:tcBorders>
              <w:top w:val="single" w:sz="4" w:space="0" w:color="auto"/>
              <w:left w:val="nil"/>
              <w:bottom w:val="double" w:sz="6" w:space="0" w:color="auto"/>
              <w:right w:val="nil"/>
            </w:tcBorders>
            <w:shd w:val="clear" w:color="auto" w:fill="auto"/>
            <w:noWrap/>
            <w:vAlign w:val="center"/>
          </w:tcPr>
          <w:p w14:paraId="5D4E10DF" w14:textId="77777777" w:rsidR="00B97F5E" w:rsidRPr="00B85E14" w:rsidRDefault="00B97F5E" w:rsidP="00DC2A47">
            <w:pPr>
              <w:jc w:val="center"/>
              <w:rPr>
                <w:sz w:val="16"/>
                <w:szCs w:val="16"/>
                <w:lang w:eastAsia="de-DE"/>
              </w:rPr>
            </w:pPr>
            <w:r w:rsidRPr="00B85E14">
              <w:rPr>
                <w:sz w:val="16"/>
                <w:szCs w:val="16"/>
                <w:lang w:eastAsia="de-DE"/>
              </w:rPr>
              <w:t>725.5</w:t>
            </w:r>
          </w:p>
        </w:tc>
        <w:tc>
          <w:tcPr>
            <w:tcW w:w="765" w:type="dxa"/>
            <w:tcBorders>
              <w:top w:val="single" w:sz="4" w:space="0" w:color="auto"/>
              <w:left w:val="nil"/>
              <w:bottom w:val="double" w:sz="6" w:space="0" w:color="auto"/>
              <w:right w:val="nil"/>
            </w:tcBorders>
            <w:shd w:val="clear" w:color="auto" w:fill="auto"/>
            <w:noWrap/>
            <w:vAlign w:val="center"/>
          </w:tcPr>
          <w:p w14:paraId="16EA1AFF" w14:textId="77777777" w:rsidR="00B97F5E" w:rsidRPr="00B85E14" w:rsidRDefault="00B97F5E" w:rsidP="00DC2A47">
            <w:pPr>
              <w:jc w:val="center"/>
              <w:rPr>
                <w:sz w:val="16"/>
                <w:szCs w:val="16"/>
                <w:lang w:eastAsia="de-DE"/>
              </w:rPr>
            </w:pPr>
            <w:r w:rsidRPr="00B85E14">
              <w:rPr>
                <w:sz w:val="16"/>
                <w:szCs w:val="16"/>
                <w:lang w:eastAsia="de-DE"/>
              </w:rPr>
              <w:t>80.48</w:t>
            </w:r>
          </w:p>
        </w:tc>
        <w:tc>
          <w:tcPr>
            <w:tcW w:w="855" w:type="dxa"/>
            <w:tcBorders>
              <w:top w:val="single" w:sz="4" w:space="0" w:color="auto"/>
              <w:left w:val="nil"/>
              <w:bottom w:val="double" w:sz="6" w:space="0" w:color="auto"/>
              <w:right w:val="nil"/>
            </w:tcBorders>
            <w:shd w:val="clear" w:color="auto" w:fill="auto"/>
            <w:noWrap/>
            <w:vAlign w:val="center"/>
          </w:tcPr>
          <w:p w14:paraId="2E1A7644" w14:textId="77777777" w:rsidR="00B97F5E" w:rsidRPr="00B85E14" w:rsidRDefault="00B97F5E" w:rsidP="00DC2A47">
            <w:pPr>
              <w:jc w:val="center"/>
              <w:rPr>
                <w:sz w:val="16"/>
                <w:szCs w:val="16"/>
                <w:lang w:eastAsia="de-DE"/>
              </w:rPr>
            </w:pPr>
            <w:r w:rsidRPr="00B85E14">
              <w:rPr>
                <w:sz w:val="16"/>
                <w:szCs w:val="16"/>
                <w:lang w:eastAsia="de-DE"/>
              </w:rPr>
              <w:t>-</w:t>
            </w:r>
          </w:p>
        </w:tc>
        <w:tc>
          <w:tcPr>
            <w:tcW w:w="1009" w:type="dxa"/>
            <w:tcBorders>
              <w:top w:val="single" w:sz="4" w:space="0" w:color="auto"/>
              <w:left w:val="nil"/>
              <w:bottom w:val="double" w:sz="6" w:space="0" w:color="auto"/>
              <w:right w:val="nil"/>
            </w:tcBorders>
            <w:shd w:val="clear" w:color="auto" w:fill="auto"/>
            <w:noWrap/>
            <w:vAlign w:val="center"/>
          </w:tcPr>
          <w:p w14:paraId="4837C912" w14:textId="77777777" w:rsidR="00B97F5E" w:rsidRPr="00B85E14" w:rsidRDefault="00B97F5E" w:rsidP="00DC2A47">
            <w:pPr>
              <w:jc w:val="center"/>
              <w:rPr>
                <w:sz w:val="16"/>
                <w:szCs w:val="16"/>
                <w:lang w:eastAsia="de-DE"/>
              </w:rPr>
            </w:pPr>
            <w:r w:rsidRPr="00B85E14">
              <w:rPr>
                <w:sz w:val="16"/>
                <w:szCs w:val="16"/>
                <w:lang w:eastAsia="de-DE"/>
              </w:rPr>
              <w:t>0.501</w:t>
            </w:r>
          </w:p>
        </w:tc>
      </w:tr>
    </w:tbl>
    <w:p w14:paraId="1B9806EF" w14:textId="77777777" w:rsidR="00B97F5E" w:rsidRPr="003526BA" w:rsidRDefault="00B97F5E">
      <w:pPr>
        <w:pStyle w:val="Head1"/>
      </w:pPr>
    </w:p>
    <w:p w14:paraId="324EC927" w14:textId="77777777" w:rsidR="00B97F5E" w:rsidRPr="003526BA" w:rsidRDefault="00B97F5E">
      <w:pPr>
        <w:pStyle w:val="Head1"/>
      </w:pPr>
    </w:p>
    <w:p w14:paraId="1387BE34" w14:textId="77777777" w:rsidR="00B97F5E" w:rsidRPr="003526BA" w:rsidRDefault="00B97F5E">
      <w:pPr>
        <w:pStyle w:val="Head1"/>
      </w:pPr>
      <w:r w:rsidRPr="003526BA">
        <w:t>3. Potential of the TPC</w:t>
      </w:r>
    </w:p>
    <w:p w14:paraId="59988CFB" w14:textId="77777777" w:rsidR="00B97F5E" w:rsidRPr="003526BA" w:rsidRDefault="00B97F5E">
      <w:pPr>
        <w:pStyle w:val="Head1"/>
      </w:pPr>
    </w:p>
    <w:p w14:paraId="4C656CF3" w14:textId="77777777" w:rsidR="00B97F5E" w:rsidRPr="003526BA" w:rsidRDefault="00B97F5E">
      <w:pPr>
        <w:pStyle w:val="Head1"/>
      </w:pPr>
      <w:r w:rsidRPr="003526BA">
        <w:t>3.1 Efficiency roadmap to 25%</w:t>
      </w:r>
    </w:p>
    <w:p w14:paraId="6A11721A" w14:textId="704492B2" w:rsidR="00B97F5E" w:rsidRPr="0093187C" w:rsidRDefault="00B97F5E">
      <w:pPr>
        <w:pStyle w:val="Head1"/>
        <w:rPr>
          <w:lang w:val="en-GB"/>
        </w:rPr>
      </w:pPr>
      <w:r w:rsidRPr="003526BA">
        <w:t>We used the data from the certified solar cell with an efficiency of 24.0% from previous studies</w:t>
      </w:r>
      <w:r w:rsidRPr="003526BA">
        <w:rPr>
          <w:noProof/>
          <w:vertAlign w:val="superscript"/>
        </w:rPr>
        <w:t>[11]</w:t>
      </w:r>
      <w:r w:rsidRPr="003526BA">
        <w:t xml:space="preserve"> as a base to find input parameters for a simulation using QUOKKA3 of the certified cell. The simulation allowed us to obtain further insights into losses of the solar cell and enables us to design a roadmap describing the path towards achieving efficiencies of 25% with TPCs. </w:t>
      </w:r>
      <w:r w:rsidRPr="00B85E14">
        <w:rPr>
          <w:b/>
          <w:bCs/>
        </w:rPr>
        <w:t>Figure 4</w:t>
      </w:r>
      <w:r w:rsidRPr="003E6F5D">
        <w:t xml:space="preserve"> presents the breakdown of the different losses resulting from our </w:t>
      </w:r>
      <w:r w:rsidRPr="003526BA">
        <w:t xml:space="preserve">QUOKKA3 simulations.  For the analysis, two main assumptions had to be made. The current losses were multiplied by the simulated voltage at the maximum power point to convert them in mW/cm² for an easier comparison between current (optical) losses and free energy (recombination, resistive) losses. The reflection losses were estimated from OPAL2 simulations and the absorption in the different layers was approximated from Lambert-Beer law. The optical losses are the most dominant ones with total losses of 3.38 mW/cm², whereas the total recombination losses are 1.49 mW/cm² and total resistive losses are 1.02 mW/cm². In the optical losses, 1.63 mW/cm² are lost by </w:t>
      </w:r>
      <w:r w:rsidR="00836E3D" w:rsidRPr="0093187C">
        <w:t>unabsorbed photons</w:t>
      </w:r>
      <w:r w:rsidR="00836E3D">
        <w:t xml:space="preserve">, </w:t>
      </w:r>
      <w:r w:rsidRPr="003526BA">
        <w:t>while 0.97 mW/cm² are lost from finger shading. In the recombination losses, 0.78 mW/cm² is lost from recombination at the front c-Si interface and 0.42 </w:t>
      </w:r>
      <w:r w:rsidRPr="00316738">
        <w:t>mW/cm² at the rear c-Si interface.</w:t>
      </w:r>
      <w:r w:rsidR="0093187C" w:rsidRPr="00316738">
        <w:t xml:space="preserve"> </w:t>
      </w:r>
      <w:r w:rsidR="0093187C" w:rsidRPr="00316738">
        <w:rPr>
          <w:lang w:val="en-GB"/>
        </w:rPr>
        <w:t>Unabsorbed photons are photons with energies above</w:t>
      </w:r>
      <w:r w:rsidR="00721081">
        <w:rPr>
          <w:lang w:val="en-GB"/>
        </w:rPr>
        <w:t xml:space="preserve"> the</w:t>
      </w:r>
      <w:r w:rsidR="0093187C" w:rsidRPr="00316738">
        <w:rPr>
          <w:lang w:val="en-GB"/>
        </w:rPr>
        <w:t xml:space="preserve"> band-gap </w:t>
      </w:r>
      <w:r w:rsidR="0093187C" w:rsidRPr="00316738">
        <w:rPr>
          <w:i/>
          <w:iCs/>
          <w:lang w:val="en-GB"/>
        </w:rPr>
        <w:t>E</w:t>
      </w:r>
      <w:r w:rsidR="0093187C" w:rsidRPr="00316738">
        <w:rPr>
          <w:vertAlign w:val="subscript"/>
          <w:lang w:val="en-GB"/>
        </w:rPr>
        <w:t>g</w:t>
      </w:r>
      <w:r w:rsidR="0093187C" w:rsidRPr="00316738">
        <w:rPr>
          <w:lang w:val="en-GB"/>
        </w:rPr>
        <w:t xml:space="preserve">, </w:t>
      </w:r>
      <w:r w:rsidR="0093187C" w:rsidRPr="00316738">
        <w:rPr>
          <w:lang w:val="en-GB"/>
        </w:rPr>
        <w:lastRenderedPageBreak/>
        <w:t>but with energies low enough that they are not fully absorbed during the pass-through of the silicon bulk. These photons are either reflected or parasitically absorbed, e.g. in the near-IR regime or at the metallization, and thus do not contribute to electron-hole pair generation.</w:t>
      </w:r>
      <w:r w:rsidRPr="00316738">
        <w:t xml:space="preserve"> The </w:t>
      </w:r>
      <w:r w:rsidRPr="003526BA">
        <w:t>individual resistive losses are all rather small</w:t>
      </w:r>
      <w:r w:rsidR="00836E3D">
        <w:t>.</w:t>
      </w:r>
    </w:p>
    <w:p w14:paraId="3A5348C1" w14:textId="77777777" w:rsidR="00B97F5E" w:rsidRPr="003526BA" w:rsidRDefault="00B97F5E">
      <w:pPr>
        <w:pStyle w:val="Head1"/>
      </w:pPr>
      <w:r w:rsidRPr="003526BA">
        <w:t xml:space="preserve">Subsequently, we adapted the simulation of the base cell to decrease the mayor loss contributors to achieve a final efficiency of 25%. Note that the simulated base efficiency deviates slightly from the certified efficiency. This discrepancy is because most IV-parameters of the cell could be matched besides </w:t>
      </w:r>
      <w:r w:rsidRPr="003526BA">
        <w:rPr>
          <w:i/>
          <w:iCs/>
        </w:rPr>
        <w:t>R</w:t>
      </w:r>
      <w:r w:rsidRPr="003526BA">
        <w:rPr>
          <w:vertAlign w:val="subscript"/>
        </w:rPr>
        <w:t>S</w:t>
      </w:r>
      <w:r w:rsidRPr="003526BA">
        <w:t xml:space="preserve"> and thus a slight mismatch in </w:t>
      </w:r>
      <w:r w:rsidRPr="003526BA">
        <w:rPr>
          <w:i/>
          <w:iCs/>
        </w:rPr>
        <w:t>FF</w:t>
      </w:r>
      <w:r w:rsidRPr="003526BA">
        <w:t xml:space="preserve"> could not be avoided. But as can be seen by the large error bars in Figure 3 e), the measured </w:t>
      </w:r>
      <w:r w:rsidRPr="003526BA">
        <w:rPr>
          <w:i/>
          <w:iCs/>
        </w:rPr>
        <w:t>R</w:t>
      </w:r>
      <w:r w:rsidRPr="003526BA">
        <w:rPr>
          <w:i/>
          <w:iCs/>
          <w:vertAlign w:val="subscript"/>
        </w:rPr>
        <w:t>S</w:t>
      </w:r>
      <w:r w:rsidRPr="003526BA">
        <w:t xml:space="preserve"> value are not too precise. Also, a slight deviation in the simulated and measured </w:t>
      </w:r>
      <w:r w:rsidRPr="003526BA">
        <w:rPr>
          <w:i/>
          <w:iCs/>
        </w:rPr>
        <w:t>V</w:t>
      </w:r>
      <w:r w:rsidRPr="003526BA">
        <w:rPr>
          <w:vertAlign w:val="subscript"/>
        </w:rPr>
        <w:t>OC</w:t>
      </w:r>
      <w:r w:rsidRPr="003526BA">
        <w:t xml:space="preserve"> could not be avoided.</w:t>
      </w:r>
    </w:p>
    <w:p w14:paraId="281AF0E0" w14:textId="77777777" w:rsidR="00B97F5E" w:rsidRPr="003526BA" w:rsidRDefault="00B97F5E">
      <w:pPr>
        <w:pStyle w:val="Head1"/>
      </w:pPr>
      <w:r w:rsidRPr="003526BA">
        <w:t xml:space="preserve">The final roadmap can be found in </w:t>
      </w:r>
      <w:r w:rsidRPr="003526BA">
        <w:rPr>
          <w:b/>
          <w:bCs/>
        </w:rPr>
        <w:t>Figure 5</w:t>
      </w:r>
      <w:r w:rsidRPr="003526BA">
        <w:t xml:space="preserve">, where the changes in the simulation are marked. An extended explanation of the changed simulation parameters can be found in the Supporting Information. Reducing the finger width will reduce the losses from the finger shading and can be done by adjusting the screen-printing process. Simultaneously, the finger pitch needs to be adjusted to avoid losses in the </w:t>
      </w:r>
      <w:r w:rsidRPr="003526BA">
        <w:rPr>
          <w:i/>
          <w:iCs/>
        </w:rPr>
        <w:t>FF</w:t>
      </w:r>
      <w:r w:rsidRPr="003526BA">
        <w:t xml:space="preserve">. A balance between a reduced finger width for increasing the incident light and a smaller finger pitch to mitigate losses in the </w:t>
      </w:r>
      <w:r w:rsidRPr="003526BA">
        <w:rPr>
          <w:i/>
          <w:iCs/>
        </w:rPr>
        <w:t>R</w:t>
      </w:r>
      <w:r w:rsidRPr="003526BA">
        <w:rPr>
          <w:vertAlign w:val="subscript"/>
        </w:rPr>
        <w:t>S</w:t>
      </w:r>
      <w:r w:rsidRPr="003526BA">
        <w:t xml:space="preserve"> and </w:t>
      </w:r>
      <w:r w:rsidRPr="003526BA">
        <w:rPr>
          <w:i/>
          <w:iCs/>
        </w:rPr>
        <w:t>FF</w:t>
      </w:r>
      <w:r w:rsidRPr="003526BA">
        <w:t xml:space="preserve"> needs to be found to increase the </w:t>
      </w:r>
      <w:r w:rsidRPr="003526BA">
        <w:rPr>
          <w:i/>
          <w:iCs/>
        </w:rPr>
        <w:t>J</w:t>
      </w:r>
      <w:r w:rsidRPr="003526BA">
        <w:rPr>
          <w:vertAlign w:val="subscript"/>
        </w:rPr>
        <w:t>SC</w:t>
      </w:r>
      <w:r w:rsidRPr="003526BA">
        <w:t xml:space="preserve"> and maintain the </w:t>
      </w:r>
      <w:r w:rsidRPr="003526BA">
        <w:rPr>
          <w:i/>
          <w:iCs/>
        </w:rPr>
        <w:t>FF</w:t>
      </w:r>
      <w:r w:rsidRPr="003526BA">
        <w:t xml:space="preserve">. The surface recombination velocity at the front c-Si surface </w:t>
      </w:r>
      <w:r w:rsidRPr="003526BA">
        <w:rPr>
          <w:i/>
        </w:rPr>
        <w:t>S</w:t>
      </w:r>
      <w:r w:rsidRPr="003526BA">
        <w:rPr>
          <w:vertAlign w:val="subscript"/>
        </w:rPr>
        <w:t>eff,front</w:t>
      </w:r>
      <w:r w:rsidRPr="003526BA">
        <w:t xml:space="preserve"> could be reduced by an additional hydrogenation step or optimization of the wet-chemical oxidation process of the SiO</w:t>
      </w:r>
      <w:r w:rsidRPr="003526BA">
        <w:rPr>
          <w:vertAlign w:val="subscript"/>
        </w:rPr>
        <w:t>X</w:t>
      </w:r>
      <w:r w:rsidRPr="003526BA">
        <w:t xml:space="preserve">. Preliminary experiments have already shown that an increase in implied </w:t>
      </w:r>
      <w:r w:rsidRPr="003526BA">
        <w:rPr>
          <w:i/>
        </w:rPr>
        <w:t>V</w:t>
      </w:r>
      <w:r w:rsidRPr="003526BA">
        <w:rPr>
          <w:vertAlign w:val="subscript"/>
        </w:rPr>
        <w:t>OC</w:t>
      </w:r>
      <w:r w:rsidRPr="003526BA">
        <w:t xml:space="preserve"> of up to 7 mV, suggesting a lower </w:t>
      </w:r>
      <w:r w:rsidRPr="003526BA">
        <w:rPr>
          <w:i/>
        </w:rPr>
        <w:t>S</w:t>
      </w:r>
      <w:r w:rsidRPr="003526BA">
        <w:rPr>
          <w:vertAlign w:val="subscript"/>
        </w:rPr>
        <w:t>eff,front</w:t>
      </w:r>
      <w:r w:rsidRPr="003526BA">
        <w:t xml:space="preserve">, can be achieved by adjusting the concentrations of hydrogen peroxide and sulfuric acid during the wet-chemical oxidation of the wafers, probably changing the reaction kinetics and thus growing a more stoichiometric oxide. The bulk lifetime is determined by the quality of the wafers. The near-IR response can be increased by e.g., decreasing the near-IR absorption in the front stack. One possibility would be to replace the ITO with higher mobility TCO materials which have a better trade-off of </w:t>
      </w:r>
      <w:r w:rsidRPr="003526BA">
        <w:lastRenderedPageBreak/>
        <w:t>optoelectrical performance, such as hydrogenated indium oxide (IO:H) or titanium doped indium oxide (ITiO). The absorptance of IO:H is equal to or lower than that of ITO, especially for wavelength above 600 nm</w:t>
      </w:r>
      <w:r w:rsidRPr="003526BA">
        <w:rPr>
          <w:noProof/>
          <w:vertAlign w:val="superscript"/>
        </w:rPr>
        <w:t>[26]</w:t>
      </w:r>
      <w:r w:rsidRPr="003526BA">
        <w:t xml:space="preserve">. The absorption coefficient of ITiO can be found in </w:t>
      </w:r>
      <w:r w:rsidRPr="003526BA">
        <w:rPr>
          <w:b/>
          <w:bCs/>
        </w:rPr>
        <w:t>Figure S2</w:t>
      </w:r>
      <w:r w:rsidRPr="003526BA">
        <w:t>. It is similar to that of ITO until wavelength of approximately 350 nm and significantly lower than that of ITO for wavelength above 350 nm. Here it is important that the electrical properties of the new TCO are similar to that of the ITO so that the gain from the previous optimization stays valid.</w:t>
      </w:r>
    </w:p>
    <w:p w14:paraId="2C979645" w14:textId="77777777" w:rsidR="00B97F5E" w:rsidRPr="003526BA" w:rsidRDefault="00B97F5E">
      <w:pPr>
        <w:pStyle w:val="Head1"/>
      </w:pPr>
      <w:r w:rsidRPr="00B85E14">
        <w:rPr>
          <w:noProof/>
          <w:lang w:val="de-DE" w:eastAsia="de-DE"/>
        </w:rPr>
        <w:drawing>
          <wp:inline distT="0" distB="0" distL="0" distR="0" wp14:anchorId="68FD9E0B" wp14:editId="1EBE3C2D">
            <wp:extent cx="4494941" cy="3441111"/>
            <wp:effectExtent l="0" t="0" r="1270" b="6985"/>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4494941" cy="3441111"/>
                    </a:xfrm>
                    <a:prstGeom prst="rect">
                      <a:avLst/>
                    </a:prstGeom>
                    <a:noFill/>
                    <a:ln>
                      <a:noFill/>
                    </a:ln>
                  </pic:spPr>
                </pic:pic>
              </a:graphicData>
            </a:graphic>
          </wp:inline>
        </w:drawing>
      </w:r>
    </w:p>
    <w:p w14:paraId="4E6CA730" w14:textId="77777777" w:rsidR="00B97F5E" w:rsidRPr="003526BA" w:rsidRDefault="00B97F5E">
      <w:pPr>
        <w:pStyle w:val="Head1"/>
      </w:pPr>
      <w:r w:rsidRPr="003526BA">
        <w:rPr>
          <w:b/>
          <w:bCs/>
        </w:rPr>
        <w:t>Figure</w:t>
      </w:r>
      <w:r w:rsidRPr="003526BA">
        <w:t xml:space="preserve"> </w:t>
      </w:r>
      <w:r w:rsidRPr="003526BA">
        <w:rPr>
          <w:b/>
          <w:bCs/>
        </w:rPr>
        <w:t>4</w:t>
      </w:r>
      <w:r w:rsidRPr="003526BA">
        <w:t xml:space="preserve"> Loss Analysis using QUOKKA3 of the certified 24.0% cell from previous studies</w:t>
      </w:r>
      <w:r w:rsidRPr="003526BA">
        <w:rPr>
          <w:noProof/>
          <w:vertAlign w:val="superscript"/>
        </w:rPr>
        <w:t>[11]</w:t>
      </w:r>
      <w:r w:rsidRPr="003526BA">
        <w:t xml:space="preserve">. To see the influence of the losses on the short-circuit current density, the losses are given in mA/cm². If the tool gives the losses in mW/cm², they are divided by </w:t>
      </w:r>
      <w:r w:rsidRPr="003526BA">
        <w:rPr>
          <w:i/>
          <w:iCs/>
        </w:rPr>
        <w:t>V</w:t>
      </w:r>
      <w:r w:rsidRPr="003526BA">
        <w:rPr>
          <w:vertAlign w:val="subscript"/>
        </w:rPr>
        <w:t>MPP</w:t>
      </w:r>
      <w:r w:rsidRPr="003526BA">
        <w:t xml:space="preserve"> to estimate the losses in mA/cm². </w:t>
      </w:r>
    </w:p>
    <w:p w14:paraId="3956B946" w14:textId="77777777" w:rsidR="00B97F5E" w:rsidRPr="003526BA" w:rsidRDefault="00B97F5E">
      <w:pPr>
        <w:pStyle w:val="Head1"/>
      </w:pPr>
    </w:p>
    <w:p w14:paraId="4F0E8E4B" w14:textId="77777777" w:rsidR="00B97F5E" w:rsidRPr="003526BA" w:rsidRDefault="00B97F5E">
      <w:pPr>
        <w:pStyle w:val="Head1"/>
      </w:pPr>
      <w:r w:rsidRPr="00B85E14">
        <w:rPr>
          <w:noProof/>
          <w:lang w:val="de-DE" w:eastAsia="de-DE"/>
        </w:rPr>
        <w:lastRenderedPageBreak/>
        <w:drawing>
          <wp:inline distT="0" distB="0" distL="0" distR="0" wp14:anchorId="2B16CF19" wp14:editId="2513B54B">
            <wp:extent cx="3118771" cy="2390775"/>
            <wp:effectExtent l="0" t="0" r="5715" b="0"/>
            <wp:docPr id="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9"/>
                    <pic:cNvPicPr>
                      <a:picLocks noChangeAspect="1" noChangeArrowheads="1"/>
                    </pic:cNvPicPr>
                  </pic:nvPicPr>
                  <pic:blipFill>
                    <a:blip r:embed="rId10"/>
                    <a:stretch>
                      <a:fillRect/>
                    </a:stretch>
                  </pic:blipFill>
                  <pic:spPr bwMode="auto">
                    <a:xfrm>
                      <a:off x="0" y="0"/>
                      <a:ext cx="3118771" cy="2390775"/>
                    </a:xfrm>
                    <a:prstGeom prst="rect">
                      <a:avLst/>
                    </a:prstGeom>
                    <a:noFill/>
                    <a:ln>
                      <a:noFill/>
                    </a:ln>
                  </pic:spPr>
                </pic:pic>
              </a:graphicData>
            </a:graphic>
          </wp:inline>
        </w:drawing>
      </w:r>
    </w:p>
    <w:p w14:paraId="7C75A13E" w14:textId="77777777" w:rsidR="00B97F5E" w:rsidRPr="003526BA" w:rsidRDefault="00B97F5E">
      <w:pPr>
        <w:pStyle w:val="Head1"/>
      </w:pPr>
      <w:r w:rsidRPr="003526BA">
        <w:rPr>
          <w:b/>
          <w:bCs/>
        </w:rPr>
        <w:t>Figure</w:t>
      </w:r>
      <w:r w:rsidRPr="003526BA">
        <w:t xml:space="preserve"> </w:t>
      </w:r>
      <w:r w:rsidRPr="003526BA">
        <w:rPr>
          <w:b/>
          <w:bCs/>
        </w:rPr>
        <w:t>5.</w:t>
      </w:r>
      <w:r w:rsidRPr="003526BA">
        <w:t xml:space="preserve"> Simulated roadmap to a solar cell efficiency of 25% with a TPC on the front side. The changes compared to the base simulation, which is of the certified 24.0% cell from previous studies</w:t>
      </w:r>
      <w:r w:rsidRPr="003526BA">
        <w:rPr>
          <w:noProof/>
          <w:vertAlign w:val="superscript"/>
        </w:rPr>
        <w:t>[11]</w:t>
      </w:r>
      <w:r w:rsidRPr="003526BA">
        <w:t xml:space="preserve">, are noted in the graph. Adjusting the front finger structure and reducing </w:t>
      </w:r>
      <w:r w:rsidRPr="003526BA">
        <w:rPr>
          <w:i/>
          <w:iCs/>
        </w:rPr>
        <w:t>S</w:t>
      </w:r>
      <w:r w:rsidRPr="003526BA">
        <w:rPr>
          <w:vertAlign w:val="subscript"/>
        </w:rPr>
        <w:t>eff,front</w:t>
      </w:r>
      <w:r w:rsidRPr="003526BA">
        <w:t xml:space="preserve"> contribute most to an increased efficiency.</w:t>
      </w:r>
    </w:p>
    <w:p w14:paraId="47B7CB19" w14:textId="77777777" w:rsidR="00B97F5E" w:rsidRPr="003526BA" w:rsidRDefault="00B97F5E">
      <w:pPr>
        <w:pStyle w:val="Head1"/>
      </w:pPr>
    </w:p>
    <w:p w14:paraId="70F7566B" w14:textId="77777777" w:rsidR="00B97F5E" w:rsidRPr="003526BA" w:rsidRDefault="00B97F5E">
      <w:pPr>
        <w:pStyle w:val="Head1"/>
      </w:pPr>
      <w:r w:rsidRPr="003526BA">
        <w:t xml:space="preserve">3.2. </w:t>
      </w:r>
      <w:r w:rsidRPr="003526BA">
        <w:rPr>
          <w:i/>
          <w:iCs/>
        </w:rPr>
        <w:t>J</w:t>
      </w:r>
      <w:r w:rsidRPr="003526BA">
        <w:rPr>
          <w:vertAlign w:val="subscript"/>
        </w:rPr>
        <w:t>SC</w:t>
      </w:r>
      <w:r w:rsidRPr="003526BA">
        <w:t xml:space="preserve"> potential of the TPC</w:t>
      </w:r>
    </w:p>
    <w:p w14:paraId="5BBB4CFE" w14:textId="77777777" w:rsidR="00B97F5E" w:rsidRPr="003526BA" w:rsidRDefault="00B97F5E">
      <w:pPr>
        <w:pStyle w:val="Head1"/>
      </w:pPr>
      <w:r w:rsidRPr="003526BA">
        <w:t>Based on the certified cell in previous studies</w:t>
      </w:r>
      <w:r w:rsidRPr="003526BA">
        <w:rPr>
          <w:noProof/>
          <w:vertAlign w:val="superscript"/>
        </w:rPr>
        <w:t>[11]</w:t>
      </w:r>
      <w:r w:rsidRPr="003526BA">
        <w:t xml:space="preserve">, the </w:t>
      </w:r>
      <w:r w:rsidRPr="003526BA">
        <w:rPr>
          <w:i/>
        </w:rPr>
        <w:t>J</w:t>
      </w:r>
      <w:r w:rsidRPr="003526BA">
        <w:rPr>
          <w:vertAlign w:val="subscript"/>
        </w:rPr>
        <w:t>SC</w:t>
      </w:r>
      <w:r w:rsidRPr="003526BA">
        <w:t xml:space="preserve"> can be optimized for a potential </w:t>
      </w:r>
      <w:r w:rsidRPr="003526BA">
        <w:rPr>
          <w:i/>
        </w:rPr>
        <w:t>J</w:t>
      </w:r>
      <w:r w:rsidRPr="003526BA">
        <w:rPr>
          <w:vertAlign w:val="subscript"/>
        </w:rPr>
        <w:t>SC,pot</w:t>
      </w:r>
      <w:r w:rsidRPr="003526BA">
        <w:t xml:space="preserve"> of 42 mA/cm². The biggest gain of the missing 1.1 mA/cm² can come from the reduced finger width and optimized finger pitch mentioned in the previous section. By halving the finger width from currently 60 μm to 30 μm, which is still doable by screen-printing or copper-plating, the simulations show a gain in </w:t>
      </w:r>
      <w:r w:rsidRPr="003526BA">
        <w:rPr>
          <w:i/>
        </w:rPr>
        <w:t>J</w:t>
      </w:r>
      <w:r w:rsidRPr="003526BA">
        <w:rPr>
          <w:vertAlign w:val="subscript"/>
        </w:rPr>
        <w:t xml:space="preserve">SC,pot </w:t>
      </w:r>
      <w:r w:rsidRPr="003526BA">
        <w:t>of 0.6 mA/cm².</w:t>
      </w:r>
    </w:p>
    <w:p w14:paraId="3B858B82" w14:textId="77777777" w:rsidR="00B97F5E" w:rsidRPr="003526BA" w:rsidRDefault="00B97F5E">
      <w:pPr>
        <w:pStyle w:val="Head1"/>
      </w:pPr>
      <w:r w:rsidRPr="003526BA">
        <w:rPr>
          <w:lang w:val="en-GB"/>
        </w:rPr>
        <w:t xml:space="preserve">For the last 0.5 mA/cm², an optical Sentaurus TCAD </w:t>
      </w:r>
      <w:r w:rsidRPr="003526BA">
        <w:t xml:space="preserve">simulation was performed to further optimize the </w:t>
      </w:r>
      <w:r w:rsidRPr="003526BA">
        <w:rPr>
          <w:i/>
        </w:rPr>
        <w:t>J</w:t>
      </w:r>
      <w:r w:rsidRPr="003526BA">
        <w:rPr>
          <w:vertAlign w:val="subscript"/>
        </w:rPr>
        <w:t>SC</w:t>
      </w:r>
      <w:r w:rsidRPr="003526BA">
        <w:t xml:space="preserve">. </w:t>
      </w:r>
      <w:r w:rsidRPr="003526BA">
        <w:rPr>
          <w:b/>
          <w:bCs/>
        </w:rPr>
        <w:t>Figure 6</w:t>
      </w:r>
      <w:r w:rsidRPr="003526BA">
        <w:t xml:space="preserve"> a) shows the potential of improving the efficiency by optimizing the ITO. With an original ITO thickness of 70 nm and 120 nm of MgF</w:t>
      </w:r>
      <w:r w:rsidRPr="003526BA">
        <w:rPr>
          <w:vertAlign w:val="subscript"/>
        </w:rPr>
        <w:t>2</w:t>
      </w:r>
      <w:r w:rsidRPr="003526BA">
        <w:t>, 0.82 mA/cm² is parasitically absorbed in the front ITO, while 2.16 mA/cm² is lost by reflection, as shown in Figure 6 c). When the ITO thickness is reduced and the MgF</w:t>
      </w:r>
      <w:r w:rsidRPr="003526BA">
        <w:rPr>
          <w:vertAlign w:val="subscript"/>
        </w:rPr>
        <w:t>2</w:t>
      </w:r>
      <w:r w:rsidRPr="003526BA">
        <w:t xml:space="preserve"> thickness is adjusted accordingly, the parasitic absorption is reduced but the anti-reflective properties of the ITO are decreased as well, also leading to a higher reflection loss of 2.34 mA/cm². When optimizing the </w:t>
      </w:r>
      <w:r w:rsidRPr="003526BA">
        <w:rPr>
          <w:i/>
        </w:rPr>
        <w:t>J</w:t>
      </w:r>
      <w:r w:rsidRPr="003526BA">
        <w:rPr>
          <w:vertAlign w:val="subscript"/>
        </w:rPr>
        <w:t>SC,pot</w:t>
      </w:r>
      <w:r w:rsidRPr="003526BA">
        <w:t xml:space="preserve"> gain from reduced parasitic absorption versus the </w:t>
      </w:r>
      <w:r w:rsidRPr="003526BA">
        <w:rPr>
          <w:i/>
        </w:rPr>
        <w:t>J</w:t>
      </w:r>
      <w:r w:rsidRPr="003526BA">
        <w:rPr>
          <w:vertAlign w:val="subscript"/>
        </w:rPr>
        <w:t>SC,pot</w:t>
      </w:r>
      <w:r w:rsidRPr="003526BA">
        <w:t xml:space="preserve"> loss from the increased reflectance, a total </w:t>
      </w:r>
      <w:r w:rsidRPr="003526BA">
        <w:lastRenderedPageBreak/>
        <w:t xml:space="preserve">gain of 0.29 mA/cm² can be achieved, originating from reducing parasitic absorption in the ITO to 0.37 mA/cm² with an increased reflection loss of 2.36 mA/cm², as shown in Figure 6 d) compared to Figure 6c). The total gain by only an optimized ITO layer thickness is insufficient to achieve a theoretical </w:t>
      </w:r>
      <w:r w:rsidRPr="003526BA">
        <w:rPr>
          <w:i/>
        </w:rPr>
        <w:t>J</w:t>
      </w:r>
      <w:r w:rsidRPr="003526BA">
        <w:rPr>
          <w:vertAlign w:val="subscript"/>
        </w:rPr>
        <w:t>SC,pot</w:t>
      </w:r>
      <w:r w:rsidRPr="003526BA">
        <w:t xml:space="preserve"> of 42.00 mA/cm² because of the inherent trade-off  between anti-reflective properties and parasitic absorption. Fortunately, in a broad wavelength regime, silicon nitride (SiN</w:t>
      </w:r>
      <w:r w:rsidRPr="003526BA">
        <w:rPr>
          <w:vertAlign w:val="subscript"/>
        </w:rPr>
        <w:t>x</w:t>
      </w:r>
      <w:r w:rsidRPr="003526BA">
        <w:t xml:space="preserve">) has a comparable refractive index (as shown in </w:t>
      </w:r>
      <w:r w:rsidRPr="003526BA">
        <w:rPr>
          <w:b/>
          <w:bCs/>
        </w:rPr>
        <w:t>Figure S3</w:t>
      </w:r>
      <w:r w:rsidRPr="003526BA">
        <w:t>) to ITO when grown under the right conditions</w:t>
      </w:r>
      <w:r w:rsidRPr="003526BA">
        <w:rPr>
          <w:noProof/>
          <w:vertAlign w:val="superscript"/>
        </w:rPr>
        <w:t>[27]</w:t>
      </w:r>
      <w:r w:rsidRPr="003526BA">
        <w:t>. Unlike ITO, the absorption coefficient of SiN</w:t>
      </w:r>
      <w:r w:rsidRPr="003526BA">
        <w:rPr>
          <w:vertAlign w:val="subscript"/>
        </w:rPr>
        <w:t>x</w:t>
      </w:r>
      <w:r w:rsidRPr="003526BA">
        <w:t xml:space="preserve"> is negligible. When the ITO layer is set to 10 nm to reduce the parasitic absorption and still maintain some of the electrical properties, Figure 6 b) shows that an additional 55 nm of SiN</w:t>
      </w:r>
      <w:r w:rsidRPr="003526BA">
        <w:rPr>
          <w:vertAlign w:val="subscript"/>
        </w:rPr>
        <w:t>X</w:t>
      </w:r>
      <w:r w:rsidRPr="003526BA">
        <w:t xml:space="preserve"> in combination with 110 nm MgF</w:t>
      </w:r>
      <w:r w:rsidRPr="003526BA">
        <w:rPr>
          <w:vertAlign w:val="subscript"/>
        </w:rPr>
        <w:t>2</w:t>
      </w:r>
      <w:r w:rsidRPr="003526BA">
        <w:t xml:space="preserve"> are needed for optimal anti-reflective properties. Figure 6 e) shows that with the ITO/SiN</w:t>
      </w:r>
      <w:r w:rsidRPr="003526BA">
        <w:rPr>
          <w:vertAlign w:val="subscript"/>
        </w:rPr>
        <w:t>X</w:t>
      </w:r>
      <w:r w:rsidRPr="003526BA">
        <w:t>/MgF</w:t>
      </w:r>
      <w:r w:rsidRPr="003526BA">
        <w:rPr>
          <w:vertAlign w:val="subscript"/>
        </w:rPr>
        <w:t>2</w:t>
      </w:r>
      <w:r w:rsidRPr="003526BA">
        <w:t xml:space="preserve"> ARC, the parasitic absorption can be reduced to 0.12 mA/cm² while maintaining the low reflection losses from the current case. According to the simulations, this would enable an additional gain in </w:t>
      </w:r>
      <w:r w:rsidRPr="003526BA">
        <w:rPr>
          <w:i/>
        </w:rPr>
        <w:t>J</w:t>
      </w:r>
      <w:r w:rsidRPr="003526BA">
        <w:rPr>
          <w:vertAlign w:val="subscript"/>
        </w:rPr>
        <w:t>SC</w:t>
      </w:r>
      <w:r w:rsidRPr="003526BA">
        <w:t xml:space="preserve"> of 0.65 mA/cm², for a total </w:t>
      </w:r>
      <w:r w:rsidRPr="003526BA">
        <w:rPr>
          <w:i/>
        </w:rPr>
        <w:t>J</w:t>
      </w:r>
      <w:r w:rsidRPr="003526BA">
        <w:rPr>
          <w:vertAlign w:val="subscript"/>
        </w:rPr>
        <w:t xml:space="preserve">SC,pot,max </w:t>
      </w:r>
      <w:r w:rsidRPr="003526BA">
        <w:t xml:space="preserve">of 42.15 mA/cm². Unfortunately, the sheet resistance of the ITO increases with decreasing thickness. According to electrical simulations this leads to a reduced </w:t>
      </w:r>
      <w:r w:rsidRPr="003526BA">
        <w:rPr>
          <w:i/>
          <w:iCs/>
        </w:rPr>
        <w:t>FF</w:t>
      </w:r>
      <w:r w:rsidRPr="003526BA">
        <w:t xml:space="preserve"> of 79.43% and 77.63% for 30 nm and 10 nm ITO, respectively. The gain in </w:t>
      </w:r>
      <w:r w:rsidRPr="00B85E14">
        <w:rPr>
          <w:i/>
          <w:iCs/>
        </w:rPr>
        <w:t>J</w:t>
      </w:r>
      <w:r w:rsidRPr="00B85E14">
        <w:rPr>
          <w:vertAlign w:val="subscript"/>
        </w:rPr>
        <w:t>SC</w:t>
      </w:r>
      <w:r w:rsidRPr="003E6F5D">
        <w:t xml:space="preserve"> can´t completely </w:t>
      </w:r>
      <w:r w:rsidRPr="003526BA">
        <w:t xml:space="preserve">compensate the lower </w:t>
      </w:r>
      <w:r w:rsidRPr="003526BA">
        <w:rPr>
          <w:i/>
          <w:iCs/>
        </w:rPr>
        <w:t>FF</w:t>
      </w:r>
      <w:r w:rsidRPr="003526BA">
        <w:t xml:space="preserve"> and the efficiency is reduced to 23.7% and 23.3% for 30 nm and 10 nm ITO, respectively. This could be counteracted by further optimizing the conductivity of the conductive nc-SiC:H(n) layer</w:t>
      </w:r>
      <w:r w:rsidRPr="003526BA">
        <w:rPr>
          <w:noProof/>
          <w:vertAlign w:val="superscript"/>
        </w:rPr>
        <w:t>[28]</w:t>
      </w:r>
      <w:r w:rsidRPr="003526BA">
        <w:t xml:space="preserve">. Li </w:t>
      </w:r>
      <w:r w:rsidRPr="00B85E14">
        <w:rPr>
          <w:i/>
          <w:iCs/>
        </w:rPr>
        <w:t>et al.</w:t>
      </w:r>
      <w:r w:rsidRPr="003E6F5D">
        <w:t xml:space="preserve"> have shown that the TCO can be completely omitted and that the c-Si wafer ca be used for lateral conduction if the contact resistance is sufficiently low</w:t>
      </w:r>
      <w:r w:rsidRPr="003526BA">
        <w:rPr>
          <w:noProof/>
          <w:vertAlign w:val="superscript"/>
        </w:rPr>
        <w:t>[29]</w:t>
      </w:r>
      <w:r w:rsidRPr="003526BA">
        <w:t>.</w:t>
      </w:r>
    </w:p>
    <w:p w14:paraId="0D45CEE6" w14:textId="77777777" w:rsidR="00B97F5E" w:rsidRPr="003526BA" w:rsidRDefault="00B97F5E">
      <w:pPr>
        <w:pStyle w:val="Head1"/>
      </w:pPr>
    </w:p>
    <w:p w14:paraId="4A1F0AC5" w14:textId="77777777" w:rsidR="00B97F5E" w:rsidRPr="003526BA" w:rsidRDefault="00B97F5E">
      <w:pPr>
        <w:pStyle w:val="Head1"/>
      </w:pPr>
      <w:r w:rsidRPr="00B85E14">
        <w:rPr>
          <w:noProof/>
          <w:lang w:val="de-DE" w:eastAsia="de-DE"/>
        </w:rPr>
        <w:lastRenderedPageBreak/>
        <w:drawing>
          <wp:inline distT="0" distB="0" distL="0" distR="0" wp14:anchorId="001ED578" wp14:editId="4C6491D0">
            <wp:extent cx="5614111" cy="3002351"/>
            <wp:effectExtent l="0" t="0" r="5715" b="7620"/>
            <wp:docPr id="1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5614111" cy="3002351"/>
                    </a:xfrm>
                    <a:prstGeom prst="rect">
                      <a:avLst/>
                    </a:prstGeom>
                    <a:noFill/>
                    <a:ln>
                      <a:noFill/>
                    </a:ln>
                  </pic:spPr>
                </pic:pic>
              </a:graphicData>
            </a:graphic>
          </wp:inline>
        </w:drawing>
      </w:r>
    </w:p>
    <w:p w14:paraId="23ED10C5" w14:textId="77777777" w:rsidR="00B97F5E" w:rsidRPr="003526BA" w:rsidRDefault="00B97F5E">
      <w:pPr>
        <w:pStyle w:val="Head1"/>
      </w:pPr>
      <w:r w:rsidRPr="003526BA">
        <w:rPr>
          <w:b/>
          <w:bCs/>
        </w:rPr>
        <w:t>Figure</w:t>
      </w:r>
      <w:r w:rsidRPr="003526BA">
        <w:t xml:space="preserve"> </w:t>
      </w:r>
      <w:r w:rsidRPr="003526BA">
        <w:rPr>
          <w:b/>
          <w:bCs/>
        </w:rPr>
        <w:t>6.</w:t>
      </w:r>
      <w:r w:rsidRPr="003526BA">
        <w:t xml:space="preserve"> Sentaurus TCAD simulations for the optical optimization of a cell using the TPC on the front side. a) Heatmap of the </w:t>
      </w:r>
      <w:r w:rsidRPr="003526BA">
        <w:rPr>
          <w:i/>
          <w:iCs/>
        </w:rPr>
        <w:t>J</w:t>
      </w:r>
      <w:r w:rsidRPr="003526BA">
        <w:rPr>
          <w:vertAlign w:val="subscript"/>
        </w:rPr>
        <w:t>SC</w:t>
      </w:r>
      <w:r w:rsidRPr="003526BA">
        <w:t xml:space="preserve"> depending on the thickness of the ITO and of the MgF</w:t>
      </w:r>
      <w:r w:rsidRPr="003526BA">
        <w:rPr>
          <w:vertAlign w:val="subscript"/>
        </w:rPr>
        <w:t>2</w:t>
      </w:r>
      <w:r w:rsidRPr="003526BA">
        <w:t xml:space="preserve">. The previously used thicknesses are marked with a circle, while the thicknesses for optically optimized layers are marked with a star. b) Heatmap of the </w:t>
      </w:r>
      <w:r w:rsidRPr="003526BA">
        <w:rPr>
          <w:i/>
          <w:iCs/>
        </w:rPr>
        <w:t>J</w:t>
      </w:r>
      <w:r w:rsidRPr="003526BA">
        <w:rPr>
          <w:vertAlign w:val="subscript"/>
        </w:rPr>
        <w:t>SC</w:t>
      </w:r>
      <w:r w:rsidRPr="003526BA">
        <w:t xml:space="preserve"> depending on the thickness of SiN</w:t>
      </w:r>
      <w:r w:rsidRPr="003526BA">
        <w:rPr>
          <w:vertAlign w:val="subscript"/>
        </w:rPr>
        <w:t>X</w:t>
      </w:r>
      <w:r w:rsidRPr="003526BA">
        <w:t xml:space="preserve"> and MgF</w:t>
      </w:r>
      <w:r w:rsidRPr="003526BA">
        <w:rPr>
          <w:vertAlign w:val="subscript"/>
        </w:rPr>
        <w:t>2</w:t>
      </w:r>
      <w:r w:rsidRPr="003526BA">
        <w:t xml:space="preserve"> with 10 nm of ITO under the SiN</w:t>
      </w:r>
      <w:r w:rsidRPr="003526BA">
        <w:rPr>
          <w:vertAlign w:val="subscript"/>
        </w:rPr>
        <w:t>X</w:t>
      </w:r>
      <w:r w:rsidRPr="003526BA">
        <w:t xml:space="preserve">. The </w:t>
      </w:r>
      <w:r w:rsidRPr="003526BA">
        <w:rPr>
          <w:i/>
          <w:iCs/>
        </w:rPr>
        <w:t>J</w:t>
      </w:r>
      <w:r w:rsidRPr="003526BA">
        <w:rPr>
          <w:vertAlign w:val="subscript"/>
        </w:rPr>
        <w:t>SC</w:t>
      </w:r>
      <w:r w:rsidRPr="003526BA">
        <w:t>-optimized layer thicknesses are marked with a star. c)-e) Simulated optical losses for each layer for the current layer thicknesses (c), the optimized thicknesses using only ITO (d), and the optimized thicknesses using the layer stack ITO(10nm)/SiN</w:t>
      </w:r>
      <w:r w:rsidRPr="003526BA">
        <w:rPr>
          <w:vertAlign w:val="subscript"/>
        </w:rPr>
        <w:t>X</w:t>
      </w:r>
      <w:r w:rsidRPr="003526BA">
        <w:t>/MgF</w:t>
      </w:r>
      <w:r w:rsidRPr="003526BA">
        <w:rPr>
          <w:vertAlign w:val="subscript"/>
        </w:rPr>
        <w:t>2</w:t>
      </w:r>
      <w:r w:rsidRPr="003526BA">
        <w:t xml:space="preserve"> (e). By reducing the ITO thickness and adding 55 nm SiN</w:t>
      </w:r>
      <w:r w:rsidRPr="003526BA">
        <w:rPr>
          <w:vertAlign w:val="subscript"/>
        </w:rPr>
        <w:t>X</w:t>
      </w:r>
      <w:r w:rsidRPr="003526BA">
        <w:t xml:space="preserve"> as ARC, a gain in </w:t>
      </w:r>
      <w:r w:rsidRPr="003526BA">
        <w:rPr>
          <w:i/>
          <w:iCs/>
        </w:rPr>
        <w:t>J</w:t>
      </w:r>
      <w:r w:rsidRPr="003526BA">
        <w:rPr>
          <w:vertAlign w:val="subscript"/>
        </w:rPr>
        <w:t>SC</w:t>
      </w:r>
      <w:r w:rsidRPr="003526BA">
        <w:t xml:space="preserve"> of 0.65 mA/cm² can be achieved.</w:t>
      </w:r>
    </w:p>
    <w:p w14:paraId="58A909F1" w14:textId="77777777" w:rsidR="00B97F5E" w:rsidRPr="003526BA" w:rsidRDefault="00B97F5E">
      <w:pPr>
        <w:pStyle w:val="Head1"/>
      </w:pPr>
    </w:p>
    <w:p w14:paraId="67EF3B1D" w14:textId="77777777" w:rsidR="00B97F5E" w:rsidRPr="003526BA" w:rsidRDefault="00B97F5E">
      <w:pPr>
        <w:pStyle w:val="Head1"/>
      </w:pPr>
      <w:r w:rsidRPr="003526BA">
        <w:t>4. Conclusion</w:t>
      </w:r>
    </w:p>
    <w:p w14:paraId="5FBBBC32" w14:textId="77777777" w:rsidR="00B97F5E" w:rsidRPr="003526BA" w:rsidRDefault="00B97F5E">
      <w:pPr>
        <w:pStyle w:val="Head1"/>
      </w:pPr>
      <w:r w:rsidRPr="003526BA">
        <w:t>In this work, the optical losses of the recently introduced TPC</w:t>
      </w:r>
      <w:r w:rsidRPr="003526BA">
        <w:rPr>
          <w:noProof/>
          <w:vertAlign w:val="superscript"/>
        </w:rPr>
        <w:t xml:space="preserve"> [11]</w:t>
      </w:r>
      <w:r w:rsidRPr="003526BA">
        <w:t xml:space="preserve"> are analyzed using numerical simulations and experiments. An anti-reflective MgF</w:t>
      </w:r>
      <w:r w:rsidRPr="003526BA">
        <w:rPr>
          <w:vertAlign w:val="subscript"/>
        </w:rPr>
        <w:t>2</w:t>
      </w:r>
      <w:r w:rsidRPr="003526BA">
        <w:t xml:space="preserve"> layer, which has a refractive index between that of ITO and air, can reduce the reflective losses, which constitute a significant fraction of the overall optical losses.</w:t>
      </w:r>
    </w:p>
    <w:p w14:paraId="402FC340" w14:textId="77777777" w:rsidR="00B97F5E" w:rsidRPr="003526BA" w:rsidRDefault="00B97F5E">
      <w:pPr>
        <w:pStyle w:val="Head1"/>
      </w:pPr>
      <w:r w:rsidRPr="003526BA">
        <w:t xml:space="preserve">We observe experimentally that evaporating the anti-reflective layer onto the cell reduces its </w:t>
      </w:r>
      <w:r w:rsidRPr="003526BA">
        <w:rPr>
          <w:i/>
          <w:iCs/>
        </w:rPr>
        <w:t>V</w:t>
      </w:r>
      <w:r w:rsidRPr="003526BA">
        <w:rPr>
          <w:vertAlign w:val="subscript"/>
        </w:rPr>
        <w:t>OC</w:t>
      </w:r>
      <w:r w:rsidRPr="003526BA">
        <w:t xml:space="preserve"> and </w:t>
      </w:r>
      <w:r w:rsidRPr="003526BA">
        <w:rPr>
          <w:i/>
          <w:iCs/>
        </w:rPr>
        <w:t>pFF</w:t>
      </w:r>
      <w:r w:rsidRPr="003526BA">
        <w:t xml:space="preserve">. Furthermore, the calculated gain from the reduced reflection is lower than the calculated gain from a higher </w:t>
      </w:r>
      <w:r w:rsidRPr="003526BA">
        <w:rPr>
          <w:i/>
          <w:iCs/>
        </w:rPr>
        <w:t>EQE</w:t>
      </w:r>
      <w:r w:rsidRPr="003526BA">
        <w:t xml:space="preserve">. These reductions can be explained by a reduced quality of </w:t>
      </w:r>
      <w:r w:rsidRPr="003526BA">
        <w:lastRenderedPageBreak/>
        <w:t xml:space="preserve">the passivation, probably attributed to the hydrogen distribution. After annealing two times at 200 °C in ambient air for 10 minutes, the reduced parameters can be recovered. After curing, a high </w:t>
      </w:r>
      <w:r w:rsidRPr="003526BA">
        <w:rPr>
          <w:i/>
        </w:rPr>
        <w:t>J</w:t>
      </w:r>
      <w:r w:rsidRPr="003526BA">
        <w:rPr>
          <w:vertAlign w:val="subscript"/>
        </w:rPr>
        <w:t>SC</w:t>
      </w:r>
      <w:r w:rsidRPr="003526BA">
        <w:t xml:space="preserve"> of 40.9 mA/cm² can be achieved.</w:t>
      </w:r>
    </w:p>
    <w:p w14:paraId="0362361C" w14:textId="77777777" w:rsidR="00B97F5E" w:rsidRPr="003526BA" w:rsidRDefault="00B97F5E">
      <w:pPr>
        <w:pStyle w:val="Head1"/>
      </w:pPr>
      <w:r w:rsidRPr="003526BA">
        <w:t xml:space="preserve">We perform a full loss analysis, including optical, recombination and resistive losses, using the simulation tool QUOKKA3. This analysis identifies the optical losses as the most severe ones. Based on this loss analysis, a possible pathway for an efficiency of 25% using nc-SiC:H(n) front contacts is designed, where the biggest gains in efficiency come from a reduced front finger width and a reduced recombination velocity at the front c-Si surface from a better passivation. When halving the finger width, adjusting the finger pitch and, based on Sentaurus TCAD simulations, reducing the thickness of the ITO while adding a silicon nitride layer as additional ARC, a </w:t>
      </w:r>
      <w:r w:rsidRPr="003526BA">
        <w:rPr>
          <w:i/>
        </w:rPr>
        <w:t>J</w:t>
      </w:r>
      <w:r w:rsidRPr="003526BA">
        <w:rPr>
          <w:vertAlign w:val="subscript"/>
        </w:rPr>
        <w:t>SC</w:t>
      </w:r>
      <w:r w:rsidRPr="003526BA">
        <w:t xml:space="preserve"> &gt; 42 mA/cm² could be achieved.</w:t>
      </w:r>
    </w:p>
    <w:p w14:paraId="69C28B10" w14:textId="77777777" w:rsidR="00B97F5E" w:rsidRPr="003526BA" w:rsidRDefault="00B97F5E">
      <w:pPr>
        <w:pStyle w:val="Head1"/>
      </w:pPr>
    </w:p>
    <w:p w14:paraId="675DDC2C" w14:textId="77777777" w:rsidR="00B97F5E" w:rsidRPr="003526BA" w:rsidRDefault="00B97F5E">
      <w:pPr>
        <w:pStyle w:val="Head1"/>
      </w:pPr>
      <w:r w:rsidRPr="003526BA">
        <w:t>5. Experimental Methods</w:t>
      </w:r>
    </w:p>
    <w:p w14:paraId="16D46B63" w14:textId="77777777" w:rsidR="00B97F5E" w:rsidRPr="0093187C" w:rsidRDefault="00B97F5E" w:rsidP="003E6F5D">
      <w:pPr>
        <w:pStyle w:val="Head1"/>
      </w:pPr>
      <w:r w:rsidRPr="003526BA">
        <w:t>The fabrication of the certified cells is described elsewhere</w:t>
      </w:r>
      <w:r w:rsidRPr="003526BA">
        <w:rPr>
          <w:noProof/>
          <w:vertAlign w:val="superscript"/>
          <w:lang w:val="en-GB"/>
        </w:rPr>
        <w:t>[11]</w:t>
      </w:r>
      <w:r w:rsidRPr="003526BA">
        <w:t>, but a short introduction is given in the Supporting Information. The external quantum efficiency (</w:t>
      </w:r>
      <w:r w:rsidRPr="003526BA">
        <w:rPr>
          <w:i/>
          <w:iCs/>
        </w:rPr>
        <w:t>EQE</w:t>
      </w:r>
      <w:r w:rsidRPr="003526BA">
        <w:t>), Reflectance (</w:t>
      </w:r>
      <w:r w:rsidRPr="003526BA">
        <w:rPr>
          <w:i/>
          <w:iCs/>
        </w:rPr>
        <w:t>R</w:t>
      </w:r>
      <w:r w:rsidRPr="003526BA">
        <w:t xml:space="preserve">) curves and IV-parameters are measured with the LOANA system from pv-tools GmbH under standard test conditions. The implied </w:t>
      </w:r>
      <w:r w:rsidRPr="003526BA">
        <w:rPr>
          <w:i/>
          <w:iCs/>
        </w:rPr>
        <w:t>V</w:t>
      </w:r>
      <w:r w:rsidRPr="003526BA">
        <w:rPr>
          <w:vertAlign w:val="subscript"/>
        </w:rPr>
        <w:t>OC</w:t>
      </w:r>
      <w:r w:rsidRPr="003526BA">
        <w:t xml:space="preserve"> (i</w:t>
      </w:r>
      <w:r w:rsidRPr="003526BA">
        <w:rPr>
          <w:i/>
          <w:iCs/>
        </w:rPr>
        <w:t>V</w:t>
      </w:r>
      <w:r w:rsidRPr="003526BA">
        <w:rPr>
          <w:vertAlign w:val="subscript"/>
        </w:rPr>
        <w:t>OC</w:t>
      </w:r>
      <w:r w:rsidRPr="003526BA">
        <w:t>) and pseudo FF (</w:t>
      </w:r>
      <w:r w:rsidRPr="003526BA">
        <w:rPr>
          <w:i/>
          <w:iCs/>
        </w:rPr>
        <w:t>pFF</w:t>
      </w:r>
      <w:r w:rsidRPr="003526BA">
        <w:t>), which is the Fill Factor (</w:t>
      </w:r>
      <w:r w:rsidRPr="003526BA">
        <w:rPr>
          <w:i/>
          <w:iCs/>
        </w:rPr>
        <w:t>FF</w:t>
      </w:r>
      <w:r w:rsidRPr="003526BA">
        <w:t>) without contributions from resistive effects, are measured with a Sinton WTC-120 lifetime tester in quasi steady-state conditions. The reflectance curve used as input for QUOKKA3 was simulated using the freeware-tool OPAL2</w:t>
      </w:r>
      <w:r w:rsidRPr="003526BA">
        <w:rPr>
          <w:noProof/>
          <w:vertAlign w:val="superscript"/>
        </w:rPr>
        <w:t>[30-32]</w:t>
      </w:r>
      <w:r w:rsidRPr="003526BA">
        <w:t>, the roadmap was designed using the software QUOKKA3</w:t>
      </w:r>
      <w:r w:rsidRPr="003526BA">
        <w:rPr>
          <w:noProof/>
          <w:vertAlign w:val="superscript"/>
        </w:rPr>
        <w:t>[33-36]</w:t>
      </w:r>
      <w:r w:rsidRPr="003526BA">
        <w:t xml:space="preserve"> and the </w:t>
      </w:r>
      <w:r w:rsidRPr="003526BA">
        <w:rPr>
          <w:i/>
        </w:rPr>
        <w:t>J</w:t>
      </w:r>
      <w:r w:rsidRPr="003526BA">
        <w:rPr>
          <w:vertAlign w:val="subscript"/>
        </w:rPr>
        <w:t>SC</w:t>
      </w:r>
      <w:r w:rsidRPr="003526BA">
        <w:t xml:space="preserve"> optimization was done using the software Sentaurus TCAD. In the Sentaurus TCAD simulations, raytracing with transfer matrix method boundaries was applied to simulate the optical response of the device. The optical properties of the involved materials were taken from spectroscopic ellipsometry measurements and the layer thicknesses were adjusted to achieve the best agreement with measured external quantum efficiency. </w:t>
      </w:r>
      <w:r>
        <w:t xml:space="preserve">The optical simulation results are then </w:t>
      </w:r>
      <w:r w:rsidRPr="0093187C">
        <w:t xml:space="preserve">used as an input for the electrical simulation of the device. A </w:t>
      </w:r>
      <w:r w:rsidRPr="0093187C">
        <w:lastRenderedPageBreak/>
        <w:t xml:space="preserve">2D input optical generation profile is calculated from the total photon absorption in a c-Si layer of the 3D optical simulation result. In the 2D electrical device simulation, a non-local tunneling model as, implemented in Sentaurus TCAD, is used to model the carrier transport through tunneling thin oxide layer, whereas for the rear side, i.e. amorphous silicon and ITO contact, band-to-band tunneling is considered. Furthermore, a contribution of trap-assisted tunneling is included in amorphous silicon layers. The implemented 2D electrical device model has given a good agreement with experiment for the certified 24 % cell. </w:t>
      </w:r>
    </w:p>
    <w:p w14:paraId="6E2881EA" w14:textId="77777777" w:rsidR="00B97F5E" w:rsidRPr="003526BA" w:rsidRDefault="00B97F5E" w:rsidP="003E6F5D">
      <w:pPr>
        <w:pStyle w:val="Head1"/>
      </w:pPr>
      <w:r w:rsidRPr="0093187C">
        <w:t>Further details on the simulation model set-up and parameters used can be found in literature</w:t>
      </w:r>
      <w:r w:rsidRPr="0093187C">
        <w:rPr>
          <w:noProof/>
          <w:vertAlign w:val="superscript"/>
        </w:rPr>
        <w:t>[37]</w:t>
      </w:r>
      <w:r w:rsidRPr="0093187C">
        <w:t>. Note that for this work measured electrical conductivity (σ) of the passivation and conductive silicon carbide layers, 5E-09 S cm</w:t>
      </w:r>
      <w:r w:rsidRPr="0093187C">
        <w:rPr>
          <w:vertAlign w:val="superscript"/>
        </w:rPr>
        <w:t>-1</w:t>
      </w:r>
      <w:r w:rsidRPr="0093187C">
        <w:t xml:space="preserve"> and 5E-01 S cm</w:t>
      </w:r>
      <w:r w:rsidRPr="0093187C">
        <w:rPr>
          <w:vertAlign w:val="superscript"/>
        </w:rPr>
        <w:t>-1</w:t>
      </w:r>
      <w:r w:rsidRPr="0093187C">
        <w:t>, respectively, are used. And, tunneling effective masses used for the oxide barrier are 0.4*m</w:t>
      </w:r>
      <w:r w:rsidRPr="0093187C">
        <w:rPr>
          <w:vertAlign w:val="subscript"/>
        </w:rPr>
        <w:t>0</w:t>
      </w:r>
      <w:r w:rsidRPr="0093187C">
        <w:t xml:space="preserve"> and 0.32*m</w:t>
      </w:r>
      <w:r w:rsidRPr="0093187C">
        <w:rPr>
          <w:vertAlign w:val="subscript"/>
        </w:rPr>
        <w:t>0</w:t>
      </w:r>
      <w:r w:rsidRPr="0093187C">
        <w:t xml:space="preserve"> for electrons and holes, respectively, as in literature</w:t>
      </w:r>
      <w:r w:rsidRPr="0093187C">
        <w:rPr>
          <w:noProof/>
          <w:vertAlign w:val="superscript"/>
        </w:rPr>
        <w:t>[38]</w:t>
      </w:r>
      <w:r w:rsidRPr="0093187C">
        <w:t>. m</w:t>
      </w:r>
      <w:r w:rsidRPr="0093187C">
        <w:rPr>
          <w:vertAlign w:val="subscript"/>
        </w:rPr>
        <w:t>0</w:t>
      </w:r>
      <w:r w:rsidRPr="0093187C">
        <w:t xml:space="preserve"> stands for the rest mass of an electron. The initial optical loss analysis was performed using a method proposed </w:t>
      </w:r>
      <w:r w:rsidRPr="003526BA">
        <w:t>by Paviet-Salomon et al.</w:t>
      </w:r>
      <w:r w:rsidRPr="003526BA">
        <w:rPr>
          <w:noProof/>
          <w:vertAlign w:val="superscript"/>
        </w:rPr>
        <w:t>[15]</w:t>
      </w:r>
      <w:r w:rsidRPr="003526BA">
        <w:t>.</w:t>
      </w:r>
    </w:p>
    <w:p w14:paraId="230CDCC1" w14:textId="77777777" w:rsidR="00B97F5E" w:rsidRPr="003526BA" w:rsidRDefault="00B97F5E" w:rsidP="00950BFE">
      <w:pPr>
        <w:pStyle w:val="MainText"/>
        <w:spacing w:line="360" w:lineRule="auto"/>
        <w:jc w:val="both"/>
      </w:pPr>
    </w:p>
    <w:p w14:paraId="3F7D9D92" w14:textId="77777777" w:rsidR="00B97F5E" w:rsidRPr="003526BA" w:rsidRDefault="00B97F5E" w:rsidP="00950BFE">
      <w:pPr>
        <w:pStyle w:val="Acknowledgements"/>
        <w:spacing w:line="360" w:lineRule="auto"/>
        <w:jc w:val="both"/>
        <w:rPr>
          <w:i/>
        </w:rPr>
      </w:pPr>
      <w:r w:rsidRPr="003526BA">
        <w:rPr>
          <w:b/>
        </w:rPr>
        <w:t>Supporting Information</w:t>
      </w:r>
    </w:p>
    <w:p w14:paraId="5112D27D" w14:textId="77777777" w:rsidR="00B97F5E" w:rsidRPr="003526BA" w:rsidRDefault="00B97F5E" w:rsidP="00950BFE">
      <w:pPr>
        <w:pStyle w:val="Acknowledgements"/>
        <w:spacing w:line="360" w:lineRule="auto"/>
        <w:jc w:val="both"/>
      </w:pPr>
      <w:r w:rsidRPr="003526BA">
        <w:t>Supporting Information is available from the Wiley Online Library or from the author.</w:t>
      </w:r>
    </w:p>
    <w:p w14:paraId="5A21E731" w14:textId="77777777" w:rsidR="00B97F5E" w:rsidRPr="003526BA" w:rsidRDefault="00B97F5E" w:rsidP="00950BFE">
      <w:pPr>
        <w:pStyle w:val="MainText"/>
        <w:spacing w:line="360" w:lineRule="auto"/>
        <w:jc w:val="both"/>
      </w:pPr>
    </w:p>
    <w:p w14:paraId="61AF1E36" w14:textId="77777777" w:rsidR="00B97F5E" w:rsidRPr="003526BA" w:rsidRDefault="00B97F5E">
      <w:pPr>
        <w:pStyle w:val="Head1"/>
      </w:pPr>
      <w:r w:rsidRPr="003526BA">
        <w:t>Acknowledgements</w:t>
      </w:r>
    </w:p>
    <w:p w14:paraId="1626EE89" w14:textId="77777777" w:rsidR="00B97F5E" w:rsidRPr="003526BA" w:rsidRDefault="00B97F5E" w:rsidP="00950BFE">
      <w:pPr>
        <w:pStyle w:val="Acknowledgements"/>
        <w:spacing w:line="360" w:lineRule="auto"/>
        <w:jc w:val="both"/>
      </w:pPr>
      <w:r w:rsidRPr="003526BA">
        <w:t>The authors gratefully acknowledge the funding of the German Federal Ministry of Economic Affairs and Energy in the framework of the TUKAN project (grant: 0324198D). The work of A. Zamchiy was supported in part by the German Academic Exchange Service (DAAD) and in part by the Ministry of Science and Higher Education of the Russian Federation, under Project 3.13378.2019/13.2.</w:t>
      </w:r>
    </w:p>
    <w:p w14:paraId="6E99CD57" w14:textId="77777777" w:rsidR="00B97F5E" w:rsidRPr="003526BA" w:rsidRDefault="00B97F5E" w:rsidP="00950BFE">
      <w:pPr>
        <w:pStyle w:val="Acknowledgements"/>
        <w:spacing w:line="360" w:lineRule="auto"/>
        <w:jc w:val="both"/>
        <w:rPr>
          <w:b/>
        </w:rPr>
      </w:pPr>
    </w:p>
    <w:p w14:paraId="1D677F10" w14:textId="77777777" w:rsidR="00B97F5E" w:rsidRPr="003526BA" w:rsidRDefault="00B97F5E" w:rsidP="00950BFE">
      <w:pPr>
        <w:pStyle w:val="dates"/>
        <w:spacing w:line="360" w:lineRule="auto"/>
        <w:jc w:val="both"/>
      </w:pPr>
      <w:r w:rsidRPr="003526BA">
        <w:lastRenderedPageBreak/>
        <w:t>Received: ((will be filled in by the editorial staff))</w:t>
      </w:r>
      <w:r w:rsidRPr="003526BA">
        <w:br/>
        <w:t>Revised: ((will be filled in by the editorial staff))</w:t>
      </w:r>
      <w:r w:rsidRPr="003526BA">
        <w:br/>
        <w:t>Published online: ((will be filled in by the editorial staff))</w:t>
      </w:r>
    </w:p>
    <w:p w14:paraId="2682576A" w14:textId="77777777" w:rsidR="00B97F5E" w:rsidRPr="003526BA" w:rsidRDefault="00B97F5E" w:rsidP="00950BFE">
      <w:pPr>
        <w:pStyle w:val="MainText"/>
        <w:spacing w:line="360" w:lineRule="auto"/>
        <w:jc w:val="both"/>
      </w:pPr>
    </w:p>
    <w:p w14:paraId="716045BC" w14:textId="77777777" w:rsidR="00B97F5E" w:rsidRPr="003526BA" w:rsidRDefault="00B97F5E" w:rsidP="00950BFE">
      <w:pPr>
        <w:pStyle w:val="MainText"/>
        <w:spacing w:line="360" w:lineRule="auto"/>
        <w:jc w:val="both"/>
      </w:pPr>
      <w:r w:rsidRPr="003526BA">
        <w:t>References</w:t>
      </w:r>
    </w:p>
    <w:p w14:paraId="15604166" w14:textId="77777777" w:rsidR="00B97F5E" w:rsidRPr="00892749" w:rsidRDefault="00B97F5E" w:rsidP="003E6F5D">
      <w:pPr>
        <w:pStyle w:val="EndNoteBibliography"/>
        <w:rPr>
          <w:lang w:val="en-US"/>
        </w:rPr>
      </w:pPr>
      <w:bookmarkStart w:id="2" w:name="_ENREF_1"/>
      <w:r w:rsidRPr="00892749">
        <w:rPr>
          <w:lang w:val="en-US"/>
        </w:rPr>
        <w:t>[1]</w:t>
      </w:r>
      <w:r w:rsidRPr="00892749">
        <w:rPr>
          <w:lang w:val="en-US"/>
        </w:rPr>
        <w:tab/>
        <w:t xml:space="preserve">S. W. Glunz, B. Steinhauser, J. I. Polzin, C. Luderer, B. Grübel, T. Niewelt, A. M. O. M. Okasha, M. Bories, H. Nagel, K. Krieg, F. Feldmann, A. Richter, M. Bivour, M. Hermle, </w:t>
      </w:r>
      <w:r w:rsidRPr="00892749">
        <w:rPr>
          <w:i/>
          <w:lang w:val="en-US"/>
        </w:rPr>
        <w:t xml:space="preserve">Progress in Photovoltaics: Research and Applications </w:t>
      </w:r>
      <w:r w:rsidRPr="00892749">
        <w:rPr>
          <w:b/>
          <w:lang w:val="en-US"/>
        </w:rPr>
        <w:t>2021</w:t>
      </w:r>
      <w:r w:rsidRPr="00892749">
        <w:rPr>
          <w:lang w:val="en-US"/>
        </w:rPr>
        <w:t>.</w:t>
      </w:r>
      <w:bookmarkEnd w:id="2"/>
    </w:p>
    <w:p w14:paraId="28B9A286" w14:textId="77777777" w:rsidR="00B97F5E" w:rsidRPr="00B85E14" w:rsidRDefault="00B97F5E" w:rsidP="003E6F5D">
      <w:pPr>
        <w:pStyle w:val="EndNoteBibliography"/>
        <w:rPr>
          <w:lang w:val="en-GB"/>
        </w:rPr>
      </w:pPr>
      <w:bookmarkStart w:id="3" w:name="_ENREF_2"/>
      <w:r w:rsidRPr="00B85E14">
        <w:rPr>
          <w:lang w:val="en-GB"/>
        </w:rPr>
        <w:t>[2]</w:t>
      </w:r>
      <w:r w:rsidRPr="00B85E14">
        <w:rPr>
          <w:lang w:val="en-GB"/>
        </w:rPr>
        <w:tab/>
        <w:t xml:space="preserve">W. Duan, A. Lambertz, K. Bittkau, D. Qiu, K. Qiu, U. Rau, K. Ding, </w:t>
      </w:r>
      <w:r w:rsidRPr="00B85E14">
        <w:rPr>
          <w:i/>
          <w:lang w:val="en-GB"/>
        </w:rPr>
        <w:t xml:space="preserve">Progress in Photovoltaics: Research and Applications </w:t>
      </w:r>
      <w:r w:rsidRPr="00B85E14">
        <w:rPr>
          <w:b/>
          <w:lang w:val="en-GB"/>
        </w:rPr>
        <w:t>2021</w:t>
      </w:r>
      <w:r w:rsidRPr="00B85E14">
        <w:rPr>
          <w:lang w:val="en-GB"/>
        </w:rPr>
        <w:t>.</w:t>
      </w:r>
      <w:bookmarkEnd w:id="3"/>
    </w:p>
    <w:p w14:paraId="749CB88E" w14:textId="77777777" w:rsidR="00B97F5E" w:rsidRPr="00B85E14" w:rsidRDefault="00B97F5E" w:rsidP="003E6F5D">
      <w:pPr>
        <w:pStyle w:val="EndNoteBibliography"/>
        <w:rPr>
          <w:lang w:val="en-GB"/>
        </w:rPr>
      </w:pPr>
      <w:bookmarkStart w:id="4" w:name="_ENREF_3"/>
      <w:r w:rsidRPr="00B85E14">
        <w:rPr>
          <w:lang w:val="en-GB"/>
        </w:rPr>
        <w:t>[3]</w:t>
      </w:r>
      <w:r w:rsidRPr="00B85E14">
        <w:rPr>
          <w:lang w:val="en-GB"/>
        </w:rPr>
        <w:tab/>
        <w:t xml:space="preserve">Z. C. Holman, A. Descoeudres, L. Barraud, F. Z. Fernandez, J. P. Seif, S. De Wolf, C. Ballif, </w:t>
      </w:r>
      <w:r w:rsidRPr="00B85E14">
        <w:rPr>
          <w:i/>
          <w:lang w:val="en-GB"/>
        </w:rPr>
        <w:t xml:space="preserve">IEEE Journal of Photovoltaics </w:t>
      </w:r>
      <w:r w:rsidRPr="00B85E14">
        <w:rPr>
          <w:b/>
          <w:lang w:val="en-GB"/>
        </w:rPr>
        <w:t xml:space="preserve">2012, </w:t>
      </w:r>
      <w:r w:rsidRPr="00B85E14">
        <w:rPr>
          <w:i/>
          <w:lang w:val="en-GB"/>
        </w:rPr>
        <w:t>2</w:t>
      </w:r>
      <w:r w:rsidRPr="00B85E14">
        <w:rPr>
          <w:lang w:val="en-GB"/>
        </w:rPr>
        <w:t>, 7.</w:t>
      </w:r>
      <w:bookmarkEnd w:id="4"/>
    </w:p>
    <w:p w14:paraId="3B612389" w14:textId="77777777" w:rsidR="00B97F5E" w:rsidRPr="003E6F5D" w:rsidRDefault="00B97F5E" w:rsidP="003E6F5D">
      <w:pPr>
        <w:pStyle w:val="EndNoteBibliography"/>
      </w:pPr>
      <w:bookmarkStart w:id="5" w:name="_ENREF_4"/>
      <w:r w:rsidRPr="003E6F5D">
        <w:t>[4]</w:t>
      </w:r>
      <w:r w:rsidRPr="003E6F5D">
        <w:tab/>
        <w:t xml:space="preserve">S. Reiter, N. Koper, R. Reineke-Koch, Y. Larionova, M. Turcu, J. Krügener, D. Tetzlaff, T. Wietler, U. Höhne, J.-D. Kähler, </w:t>
      </w:r>
      <w:r w:rsidRPr="003E6F5D">
        <w:rPr>
          <w:i/>
        </w:rPr>
        <w:t xml:space="preserve">Energy Procedia </w:t>
      </w:r>
      <w:r w:rsidRPr="003E6F5D">
        <w:rPr>
          <w:b/>
        </w:rPr>
        <w:t xml:space="preserve">2016, </w:t>
      </w:r>
      <w:r w:rsidRPr="003E6F5D">
        <w:rPr>
          <w:i/>
        </w:rPr>
        <w:t>92</w:t>
      </w:r>
      <w:r w:rsidRPr="003E6F5D">
        <w:t>, 199.</w:t>
      </w:r>
      <w:bookmarkEnd w:id="5"/>
    </w:p>
    <w:p w14:paraId="189D13AB" w14:textId="77777777" w:rsidR="00B97F5E" w:rsidRPr="00B85E14" w:rsidRDefault="00B97F5E" w:rsidP="003E6F5D">
      <w:pPr>
        <w:pStyle w:val="EndNoteBibliography"/>
        <w:rPr>
          <w:lang w:val="en-GB"/>
        </w:rPr>
      </w:pPr>
      <w:bookmarkStart w:id="6" w:name="_ENREF_5"/>
      <w:r w:rsidRPr="00B85E14">
        <w:rPr>
          <w:lang w:val="en-GB"/>
        </w:rPr>
        <w:t>[5]</w:t>
      </w:r>
      <w:r w:rsidRPr="00B85E14">
        <w:rPr>
          <w:lang w:val="en-GB"/>
        </w:rPr>
        <w:tab/>
        <w:t xml:space="preserve">T. G. Allen, J. Bullock, X. B. Yang, A. Javey, S. De Wolf, </w:t>
      </w:r>
      <w:r w:rsidRPr="00B85E14">
        <w:rPr>
          <w:i/>
          <w:lang w:val="en-GB"/>
        </w:rPr>
        <w:t xml:space="preserve">Nature Energy </w:t>
      </w:r>
      <w:r w:rsidRPr="00B85E14">
        <w:rPr>
          <w:b/>
          <w:lang w:val="en-GB"/>
        </w:rPr>
        <w:t xml:space="preserve">2019, </w:t>
      </w:r>
      <w:r w:rsidRPr="00B85E14">
        <w:rPr>
          <w:i/>
          <w:lang w:val="en-GB"/>
        </w:rPr>
        <w:t>4</w:t>
      </w:r>
      <w:r w:rsidRPr="00B85E14">
        <w:rPr>
          <w:lang w:val="en-GB"/>
        </w:rPr>
        <w:t>, 914.</w:t>
      </w:r>
      <w:bookmarkEnd w:id="6"/>
    </w:p>
    <w:p w14:paraId="5D0832E1" w14:textId="77777777" w:rsidR="00B97F5E" w:rsidRPr="00B85E14" w:rsidRDefault="00B97F5E" w:rsidP="003E6F5D">
      <w:pPr>
        <w:pStyle w:val="EndNoteBibliography"/>
        <w:rPr>
          <w:lang w:val="en-GB"/>
        </w:rPr>
      </w:pPr>
      <w:bookmarkStart w:id="7" w:name="_ENREF_6"/>
      <w:r w:rsidRPr="00B85E14">
        <w:rPr>
          <w:lang w:val="en-GB"/>
        </w:rPr>
        <w:t>[6]</w:t>
      </w:r>
      <w:r w:rsidRPr="00B85E14">
        <w:rPr>
          <w:lang w:val="en-GB"/>
        </w:rPr>
        <w:tab/>
        <w:t xml:space="preserve">K. Sopian, S. L. Cheow, S. H. Zaidi, </w:t>
      </w:r>
      <w:r w:rsidRPr="00B85E14">
        <w:rPr>
          <w:i/>
          <w:lang w:val="en-GB"/>
        </w:rPr>
        <w:t xml:space="preserve">4th International Conference on the Advancement of Materials and Nanotechnology (Icamn Iv 2016) </w:t>
      </w:r>
      <w:r w:rsidRPr="00B85E14">
        <w:rPr>
          <w:b/>
          <w:lang w:val="en-GB"/>
        </w:rPr>
        <w:t xml:space="preserve">2017, </w:t>
      </w:r>
      <w:r w:rsidRPr="00B85E14">
        <w:rPr>
          <w:i/>
          <w:lang w:val="en-GB"/>
        </w:rPr>
        <w:t>1877</w:t>
      </w:r>
      <w:r w:rsidRPr="00B85E14">
        <w:rPr>
          <w:lang w:val="en-GB"/>
        </w:rPr>
        <w:t>, 020004.</w:t>
      </w:r>
      <w:bookmarkEnd w:id="7"/>
    </w:p>
    <w:p w14:paraId="1E94BE94" w14:textId="77777777" w:rsidR="00B97F5E" w:rsidRPr="00B85E14" w:rsidRDefault="00B97F5E" w:rsidP="003E6F5D">
      <w:pPr>
        <w:pStyle w:val="EndNoteBibliography"/>
        <w:rPr>
          <w:lang w:val="en-GB"/>
        </w:rPr>
      </w:pPr>
      <w:bookmarkStart w:id="8" w:name="_ENREF_7"/>
      <w:r w:rsidRPr="00B85E14">
        <w:rPr>
          <w:lang w:val="en-GB"/>
        </w:rPr>
        <w:t>[7]</w:t>
      </w:r>
      <w:r w:rsidRPr="00B85E14">
        <w:rPr>
          <w:lang w:val="en-GB"/>
        </w:rPr>
        <w:tab/>
        <w:t xml:space="preserve">A. Louwen, W. van Sark, R. Schropp, A. Faaij, </w:t>
      </w:r>
      <w:r w:rsidRPr="00B85E14">
        <w:rPr>
          <w:i/>
          <w:lang w:val="en-GB"/>
        </w:rPr>
        <w:t xml:space="preserve">Solar Energy Materials and Solar Cells </w:t>
      </w:r>
      <w:r w:rsidRPr="00B85E14">
        <w:rPr>
          <w:b/>
          <w:lang w:val="en-GB"/>
        </w:rPr>
        <w:t xml:space="preserve">2016, </w:t>
      </w:r>
      <w:r w:rsidRPr="00B85E14">
        <w:rPr>
          <w:i/>
          <w:lang w:val="en-GB"/>
        </w:rPr>
        <w:t>147</w:t>
      </w:r>
      <w:r w:rsidRPr="00B85E14">
        <w:rPr>
          <w:lang w:val="en-GB"/>
        </w:rPr>
        <w:t>, 295.</w:t>
      </w:r>
      <w:bookmarkEnd w:id="8"/>
    </w:p>
    <w:p w14:paraId="4B5FE944" w14:textId="77777777" w:rsidR="00B97F5E" w:rsidRPr="00B85E14" w:rsidRDefault="00B97F5E" w:rsidP="003E6F5D">
      <w:pPr>
        <w:pStyle w:val="EndNoteBibliography"/>
        <w:rPr>
          <w:lang w:val="en-GB"/>
        </w:rPr>
      </w:pPr>
      <w:bookmarkStart w:id="9" w:name="_ENREF_8"/>
      <w:r w:rsidRPr="00B85E14">
        <w:rPr>
          <w:lang w:val="en-GB"/>
        </w:rPr>
        <w:t>[8]</w:t>
      </w:r>
      <w:r w:rsidRPr="00B85E14">
        <w:rPr>
          <w:lang w:val="en-GB"/>
        </w:rPr>
        <w:tab/>
        <w:t xml:space="preserve">Y. Q. Liu, Y. J. Li, Y. L. Wu, G. T. Yang, L. Mazzarella, P. Procel-Moya, A. C. Tamboli, K. Weber, M. Boccard, O. Isabella, X. B. Yang, B. Q. Sun, </w:t>
      </w:r>
      <w:r w:rsidRPr="00B85E14">
        <w:rPr>
          <w:i/>
          <w:lang w:val="en-GB"/>
        </w:rPr>
        <w:t xml:space="preserve">Materials Science &amp; Engineering R-Reports </w:t>
      </w:r>
      <w:r w:rsidRPr="00B85E14">
        <w:rPr>
          <w:b/>
          <w:lang w:val="en-GB"/>
        </w:rPr>
        <w:t xml:space="preserve">2020, </w:t>
      </w:r>
      <w:r w:rsidRPr="00B85E14">
        <w:rPr>
          <w:i/>
          <w:lang w:val="en-GB"/>
        </w:rPr>
        <w:t>142</w:t>
      </w:r>
      <w:r w:rsidRPr="00B85E14">
        <w:rPr>
          <w:lang w:val="en-GB"/>
        </w:rPr>
        <w:t>, 100579.</w:t>
      </w:r>
      <w:bookmarkEnd w:id="9"/>
    </w:p>
    <w:p w14:paraId="3984A3B4" w14:textId="4C0DA333" w:rsidR="00B97F5E" w:rsidRPr="00B85E14" w:rsidRDefault="00B97F5E" w:rsidP="003E6F5D">
      <w:pPr>
        <w:pStyle w:val="EndNoteBibliography"/>
        <w:rPr>
          <w:lang w:val="en-GB"/>
        </w:rPr>
      </w:pPr>
      <w:bookmarkStart w:id="10" w:name="_ENREF_9"/>
      <w:r w:rsidRPr="00B85E14">
        <w:rPr>
          <w:lang w:val="en-GB"/>
        </w:rPr>
        <w:t>[9]</w:t>
      </w:r>
      <w:r w:rsidRPr="00B85E14">
        <w:rPr>
          <w:lang w:val="en-GB"/>
        </w:rPr>
        <w:tab/>
        <w:t xml:space="preserve">G. Nogay, J. P. Seif, Y. Riesen, A. Tomasi, Q. Jeangros, N. Wyrsch, F. J. Haug, S. De Wolf, C. Ballif, </w:t>
      </w:r>
      <w:r w:rsidRPr="00B85E14">
        <w:rPr>
          <w:i/>
          <w:lang w:val="en-GB"/>
        </w:rPr>
        <w:t>I</w:t>
      </w:r>
      <w:r w:rsidR="008A61E1">
        <w:rPr>
          <w:i/>
          <w:lang w:val="en-GB"/>
        </w:rPr>
        <w:t>EEE</w:t>
      </w:r>
      <w:r w:rsidRPr="00B85E14">
        <w:rPr>
          <w:i/>
          <w:lang w:val="en-GB"/>
        </w:rPr>
        <w:t xml:space="preserve"> Journal of Photovoltaics </w:t>
      </w:r>
      <w:r w:rsidRPr="00B85E14">
        <w:rPr>
          <w:b/>
          <w:lang w:val="en-GB"/>
        </w:rPr>
        <w:t xml:space="preserve">2016, </w:t>
      </w:r>
      <w:r w:rsidRPr="00B85E14">
        <w:rPr>
          <w:i/>
          <w:lang w:val="en-GB"/>
        </w:rPr>
        <w:t>6</w:t>
      </w:r>
      <w:r w:rsidRPr="00B85E14">
        <w:rPr>
          <w:lang w:val="en-GB"/>
        </w:rPr>
        <w:t>, 1654.</w:t>
      </w:r>
      <w:bookmarkEnd w:id="10"/>
    </w:p>
    <w:p w14:paraId="30890D9A" w14:textId="2B459968" w:rsidR="00B97F5E" w:rsidRPr="00B85E14" w:rsidRDefault="00B97F5E" w:rsidP="003E6F5D">
      <w:pPr>
        <w:pStyle w:val="EndNoteBibliography"/>
        <w:rPr>
          <w:lang w:val="en-GB"/>
        </w:rPr>
      </w:pPr>
      <w:bookmarkStart w:id="11" w:name="_ENREF_10"/>
      <w:r w:rsidRPr="00B85E14">
        <w:rPr>
          <w:lang w:val="en-GB"/>
        </w:rPr>
        <w:t>[10]</w:t>
      </w:r>
      <w:r w:rsidRPr="00B85E14">
        <w:rPr>
          <w:lang w:val="en-GB"/>
        </w:rPr>
        <w:tab/>
        <w:t xml:space="preserve">J. P. Seif, A. Descoeudres, G. Nogay, S. Hanni, S. M. de Nicolas, N. Holm, J. Geissbuhler, A. Hessler-Wyser, M. Duchamp, R. E. Dunin-Borkowski, M. Ledinsky, S. De Wolf, C. Ballif, </w:t>
      </w:r>
      <w:r w:rsidRPr="00B85E14">
        <w:rPr>
          <w:i/>
          <w:lang w:val="en-GB"/>
        </w:rPr>
        <w:t>I</w:t>
      </w:r>
      <w:r w:rsidR="008A61E1">
        <w:rPr>
          <w:i/>
          <w:lang w:val="en-GB"/>
        </w:rPr>
        <w:t>EEE</w:t>
      </w:r>
      <w:r w:rsidRPr="00B85E14">
        <w:rPr>
          <w:i/>
          <w:lang w:val="en-GB"/>
        </w:rPr>
        <w:t xml:space="preserve"> Journal of Photovoltaics </w:t>
      </w:r>
      <w:r w:rsidRPr="00B85E14">
        <w:rPr>
          <w:b/>
          <w:lang w:val="en-GB"/>
        </w:rPr>
        <w:t xml:space="preserve">2016, </w:t>
      </w:r>
      <w:r w:rsidRPr="00B85E14">
        <w:rPr>
          <w:i/>
          <w:lang w:val="en-GB"/>
        </w:rPr>
        <w:t>6</w:t>
      </w:r>
      <w:r w:rsidRPr="00B85E14">
        <w:rPr>
          <w:lang w:val="en-GB"/>
        </w:rPr>
        <w:t>, 1132.</w:t>
      </w:r>
      <w:bookmarkEnd w:id="11"/>
    </w:p>
    <w:p w14:paraId="14DBA54A" w14:textId="77777777" w:rsidR="00B97F5E" w:rsidRPr="003E6F5D" w:rsidRDefault="00B97F5E" w:rsidP="003E6F5D">
      <w:pPr>
        <w:pStyle w:val="EndNoteBibliography"/>
      </w:pPr>
      <w:bookmarkStart w:id="12" w:name="_ENREF_11"/>
      <w:r w:rsidRPr="003E6F5D">
        <w:t>[11]</w:t>
      </w:r>
      <w:r w:rsidRPr="003E6F5D">
        <w:tab/>
        <w:t xml:space="preserve">M. Köhler, M. Pomaska, P. Procel, R. Santbergen, A. Zamchiy, B. Macco, A. Lambertz, W. Duan, P. Cao, B. Klingebiel, S. Li, A. Eberst, M. Luysberg, K. Qiu, O. Isabella, F. Finger, T. Kirchartz, U. Rau, K. Ding, </w:t>
      </w:r>
      <w:r w:rsidRPr="003E6F5D">
        <w:rPr>
          <w:i/>
        </w:rPr>
        <w:t xml:space="preserve">Nature Energy </w:t>
      </w:r>
      <w:r w:rsidRPr="003E6F5D">
        <w:rPr>
          <w:b/>
        </w:rPr>
        <w:t xml:space="preserve">2021, </w:t>
      </w:r>
      <w:r w:rsidRPr="003E6F5D">
        <w:rPr>
          <w:i/>
        </w:rPr>
        <w:t>6</w:t>
      </w:r>
      <w:r w:rsidRPr="003E6F5D">
        <w:t>, 529.</w:t>
      </w:r>
      <w:bookmarkEnd w:id="12"/>
    </w:p>
    <w:p w14:paraId="4960C147" w14:textId="77777777" w:rsidR="00B97F5E" w:rsidRPr="003E6F5D" w:rsidRDefault="00B97F5E" w:rsidP="003E6F5D">
      <w:pPr>
        <w:pStyle w:val="EndNoteBibliography"/>
      </w:pPr>
      <w:bookmarkStart w:id="13" w:name="_ENREF_12"/>
      <w:r w:rsidRPr="003E6F5D">
        <w:t>[12]</w:t>
      </w:r>
      <w:r w:rsidRPr="003E6F5D">
        <w:tab/>
        <w:t xml:space="preserve">M. Kohler, M. Pomaska, F. Lentz, F. Finger, U. Rau, K. Ding, </w:t>
      </w:r>
      <w:r w:rsidRPr="003E6F5D">
        <w:rPr>
          <w:i/>
        </w:rPr>
        <w:t xml:space="preserve">ACS Appl Mater Interfaces </w:t>
      </w:r>
      <w:r w:rsidRPr="003E6F5D">
        <w:rPr>
          <w:b/>
        </w:rPr>
        <w:t xml:space="preserve">2018, </w:t>
      </w:r>
      <w:r w:rsidRPr="003E6F5D">
        <w:rPr>
          <w:i/>
        </w:rPr>
        <w:t>10</w:t>
      </w:r>
      <w:r w:rsidRPr="003E6F5D">
        <w:t>, 14259.</w:t>
      </w:r>
      <w:bookmarkEnd w:id="13"/>
    </w:p>
    <w:p w14:paraId="1FE39FE1" w14:textId="77777777" w:rsidR="00B97F5E" w:rsidRPr="00B85E14" w:rsidRDefault="00B97F5E" w:rsidP="003E6F5D">
      <w:pPr>
        <w:pStyle w:val="EndNoteBibliography"/>
        <w:rPr>
          <w:lang w:val="en-GB"/>
        </w:rPr>
      </w:pPr>
      <w:bookmarkStart w:id="14" w:name="_ENREF_13"/>
      <w:r w:rsidRPr="00B85E14">
        <w:rPr>
          <w:lang w:val="en-GB"/>
        </w:rPr>
        <w:t>[13]</w:t>
      </w:r>
      <w:r w:rsidRPr="00B85E14">
        <w:rPr>
          <w:lang w:val="en-GB"/>
        </w:rPr>
        <w:tab/>
        <w:t xml:space="preserve">M. Köhler, A. Zamchiy, M. Pomaska, A. Lambertz, F. Lentz, W. Duan, V. Smirnov, F. Finger, U. Rau, K. Ding, </w:t>
      </w:r>
      <w:r w:rsidRPr="00B85E14">
        <w:rPr>
          <w:i/>
          <w:lang w:val="en-GB"/>
        </w:rPr>
        <w:t xml:space="preserve">2018 IEEE 7th World Conference on Photovoltaic Energy Conversion (WCPEC)(A Joint Conference of 45th IEEE PVSC, 28th PVSEC &amp; 34th EU PVSEC) </w:t>
      </w:r>
      <w:r w:rsidRPr="00B85E14">
        <w:rPr>
          <w:b/>
          <w:lang w:val="en-GB"/>
        </w:rPr>
        <w:t xml:space="preserve">2018, </w:t>
      </w:r>
      <w:r w:rsidRPr="00B85E14">
        <w:rPr>
          <w:lang w:val="en-GB"/>
        </w:rPr>
        <w:t>3468.</w:t>
      </w:r>
      <w:bookmarkEnd w:id="14"/>
    </w:p>
    <w:p w14:paraId="7A794178" w14:textId="77777777" w:rsidR="00B97F5E" w:rsidRPr="00B85E14" w:rsidRDefault="00B97F5E" w:rsidP="003E6F5D">
      <w:pPr>
        <w:pStyle w:val="EndNoteBibliography"/>
        <w:rPr>
          <w:lang w:val="en-GB"/>
        </w:rPr>
      </w:pPr>
      <w:bookmarkStart w:id="15" w:name="_ENREF_14"/>
      <w:r w:rsidRPr="00B85E14">
        <w:rPr>
          <w:lang w:val="en-GB"/>
        </w:rPr>
        <w:lastRenderedPageBreak/>
        <w:t>[14]</w:t>
      </w:r>
      <w:r w:rsidRPr="00B85E14">
        <w:rPr>
          <w:lang w:val="en-GB"/>
        </w:rPr>
        <w:tab/>
        <w:t xml:space="preserve">M. Kohler, M. Pomaska, A. Zamchiy, A. Lambertz, W. Duan, F. Lentz, S. Li, V. Smirnov, T. Kirchartz, F. Finger, U. Rau, K. Ding, </w:t>
      </w:r>
      <w:r w:rsidRPr="00B85E14">
        <w:rPr>
          <w:i/>
          <w:lang w:val="en-GB"/>
        </w:rPr>
        <w:t xml:space="preserve">IEEE Journal of Photovoltaics </w:t>
      </w:r>
      <w:r w:rsidRPr="00B85E14">
        <w:rPr>
          <w:b/>
          <w:lang w:val="en-GB"/>
        </w:rPr>
        <w:t xml:space="preserve">2020, </w:t>
      </w:r>
      <w:r w:rsidRPr="00B85E14">
        <w:rPr>
          <w:i/>
          <w:lang w:val="en-GB"/>
        </w:rPr>
        <w:t>10</w:t>
      </w:r>
      <w:r w:rsidRPr="00B85E14">
        <w:rPr>
          <w:lang w:val="en-GB"/>
        </w:rPr>
        <w:t>, 46.</w:t>
      </w:r>
      <w:bookmarkEnd w:id="15"/>
    </w:p>
    <w:p w14:paraId="18D1846B" w14:textId="178FE8E8" w:rsidR="00B97F5E" w:rsidRPr="00B85E14" w:rsidRDefault="00B97F5E" w:rsidP="003E6F5D">
      <w:pPr>
        <w:pStyle w:val="EndNoteBibliography"/>
        <w:rPr>
          <w:lang w:val="en-GB"/>
        </w:rPr>
      </w:pPr>
      <w:bookmarkStart w:id="16" w:name="_ENREF_15"/>
      <w:r w:rsidRPr="00B85E14">
        <w:rPr>
          <w:lang w:val="en-GB"/>
        </w:rPr>
        <w:t>[15]</w:t>
      </w:r>
      <w:r w:rsidRPr="00B85E14">
        <w:rPr>
          <w:lang w:val="en-GB"/>
        </w:rPr>
        <w:tab/>
        <w:t xml:space="preserve">B. Paviet-Salomon, A. Tomasi, A. Descoeudres, L. Barraud, S. Nicolay, M. Despeisse, S. De Wolf, C. Ballif, </w:t>
      </w:r>
      <w:r w:rsidRPr="00B85E14">
        <w:rPr>
          <w:i/>
          <w:lang w:val="en-GB"/>
        </w:rPr>
        <w:t>I</w:t>
      </w:r>
      <w:r w:rsidR="00C62374">
        <w:rPr>
          <w:i/>
          <w:lang w:val="en-GB"/>
        </w:rPr>
        <w:t>EEE</w:t>
      </w:r>
      <w:r w:rsidRPr="00B85E14">
        <w:rPr>
          <w:i/>
          <w:lang w:val="en-GB"/>
        </w:rPr>
        <w:t xml:space="preserve"> Journal of Photovoltaics </w:t>
      </w:r>
      <w:r w:rsidRPr="00B85E14">
        <w:rPr>
          <w:b/>
          <w:lang w:val="en-GB"/>
        </w:rPr>
        <w:t xml:space="preserve">2015, </w:t>
      </w:r>
      <w:r w:rsidRPr="00B85E14">
        <w:rPr>
          <w:i/>
          <w:lang w:val="en-GB"/>
        </w:rPr>
        <w:t>5</w:t>
      </w:r>
      <w:r w:rsidRPr="00B85E14">
        <w:rPr>
          <w:lang w:val="en-GB"/>
        </w:rPr>
        <w:t>, 1293.</w:t>
      </w:r>
      <w:bookmarkEnd w:id="16"/>
    </w:p>
    <w:p w14:paraId="38D1BF09" w14:textId="77777777" w:rsidR="00B97F5E" w:rsidRPr="00B85E14" w:rsidRDefault="00B97F5E" w:rsidP="003E6F5D">
      <w:pPr>
        <w:pStyle w:val="EndNoteBibliography"/>
        <w:rPr>
          <w:b/>
          <w:lang w:val="en-GB"/>
        </w:rPr>
      </w:pPr>
      <w:bookmarkStart w:id="17" w:name="_ENREF_16"/>
      <w:r w:rsidRPr="00B85E14">
        <w:rPr>
          <w:lang w:val="en-GB"/>
        </w:rPr>
        <w:t>[16]</w:t>
      </w:r>
      <w:r w:rsidRPr="00B85E14">
        <w:rPr>
          <w:lang w:val="en-GB"/>
        </w:rPr>
        <w:tab/>
        <w:t xml:space="preserve">A. C. Bournazou, A. Cruz Bournazou, </w:t>
      </w:r>
      <w:r w:rsidRPr="00B85E14">
        <w:rPr>
          <w:i/>
          <w:lang w:val="en-GB"/>
        </w:rPr>
        <w:t>Transparent Conductive Oxides for Silicon Heterojunction Solar Cells: Interaction between Materials and Device</w:t>
      </w:r>
      <w:r w:rsidRPr="00B85E14">
        <w:rPr>
          <w:lang w:val="en-GB"/>
        </w:rPr>
        <w:t xml:space="preserve">,  </w:t>
      </w:r>
      <w:r w:rsidRPr="00B85E14">
        <w:rPr>
          <w:b/>
          <w:lang w:val="en-GB"/>
        </w:rPr>
        <w:t>2020</w:t>
      </w:r>
      <w:bookmarkEnd w:id="17"/>
    </w:p>
    <w:p w14:paraId="619A7EA7" w14:textId="77777777" w:rsidR="00B97F5E" w:rsidRPr="00B85E14" w:rsidRDefault="00B97F5E" w:rsidP="003E6F5D">
      <w:pPr>
        <w:pStyle w:val="EndNoteBibliography"/>
        <w:rPr>
          <w:b/>
          <w:lang w:val="en-GB"/>
        </w:rPr>
      </w:pPr>
      <w:bookmarkStart w:id="18" w:name="_ENREF_17"/>
      <w:r w:rsidRPr="00B85E14">
        <w:rPr>
          <w:lang w:val="en-GB"/>
        </w:rPr>
        <w:t>[17]</w:t>
      </w:r>
      <w:r w:rsidRPr="00B85E14">
        <w:rPr>
          <w:lang w:val="en-GB"/>
        </w:rPr>
        <w:tab/>
        <w:t xml:space="preserve">M. A. Leilaeioun, </w:t>
      </w:r>
      <w:r w:rsidRPr="00B85E14">
        <w:rPr>
          <w:i/>
          <w:lang w:val="en-GB"/>
        </w:rPr>
        <w:t>Fill Factor Loss Mechanisms: Analysis and Basic Understanding in Silicon Hetero-junction Solar Cells</w:t>
      </w:r>
      <w:r w:rsidRPr="00B85E14">
        <w:rPr>
          <w:lang w:val="en-GB"/>
        </w:rPr>
        <w:t xml:space="preserve">, Arizona State University, </w:t>
      </w:r>
      <w:r w:rsidRPr="00B85E14">
        <w:rPr>
          <w:b/>
          <w:lang w:val="en-GB"/>
        </w:rPr>
        <w:t>2018</w:t>
      </w:r>
      <w:bookmarkEnd w:id="18"/>
    </w:p>
    <w:p w14:paraId="7EF9CA52" w14:textId="77777777" w:rsidR="00B97F5E" w:rsidRPr="00B85E14" w:rsidRDefault="00B97F5E" w:rsidP="003E6F5D">
      <w:pPr>
        <w:pStyle w:val="EndNoteBibliography"/>
        <w:rPr>
          <w:lang w:val="en-GB"/>
        </w:rPr>
      </w:pPr>
      <w:bookmarkStart w:id="19" w:name="_ENREF_18"/>
      <w:r w:rsidRPr="00B85E14">
        <w:rPr>
          <w:lang w:val="en-GB"/>
        </w:rPr>
        <w:t>[18]</w:t>
      </w:r>
      <w:r w:rsidRPr="00B85E14">
        <w:rPr>
          <w:lang w:val="en-GB"/>
        </w:rPr>
        <w:tab/>
        <w:t xml:space="preserve">O. Kabadayi, H. Gumus, </w:t>
      </w:r>
      <w:r w:rsidRPr="00B85E14">
        <w:rPr>
          <w:i/>
          <w:lang w:val="en-GB"/>
        </w:rPr>
        <w:t xml:space="preserve">Physica Status Solidi B-Basic Solid State Physics </w:t>
      </w:r>
      <w:r w:rsidRPr="00B85E14">
        <w:rPr>
          <w:b/>
          <w:lang w:val="en-GB"/>
        </w:rPr>
        <w:t xml:space="preserve">2005, </w:t>
      </w:r>
      <w:r w:rsidRPr="00B85E14">
        <w:rPr>
          <w:i/>
          <w:lang w:val="en-GB"/>
        </w:rPr>
        <w:t>242</w:t>
      </w:r>
      <w:r w:rsidRPr="00B85E14">
        <w:rPr>
          <w:lang w:val="en-GB"/>
        </w:rPr>
        <w:t>, 2391.</w:t>
      </w:r>
      <w:bookmarkEnd w:id="19"/>
    </w:p>
    <w:p w14:paraId="4FD39D14" w14:textId="77777777" w:rsidR="00B97F5E" w:rsidRPr="00B85E14" w:rsidRDefault="00B97F5E" w:rsidP="003E6F5D">
      <w:pPr>
        <w:pStyle w:val="EndNoteBibliography"/>
        <w:rPr>
          <w:lang w:val="en-GB"/>
        </w:rPr>
      </w:pPr>
      <w:bookmarkStart w:id="20" w:name="_ENREF_19"/>
      <w:r w:rsidRPr="00B85E14">
        <w:rPr>
          <w:lang w:val="en-GB"/>
        </w:rPr>
        <w:t>[19]</w:t>
      </w:r>
      <w:r w:rsidRPr="00B85E14">
        <w:rPr>
          <w:lang w:val="en-GB"/>
        </w:rPr>
        <w:tab/>
        <w:t xml:space="preserve">A. Duncanson, R. W. H. Stevenson, </w:t>
      </w:r>
      <w:r w:rsidRPr="00B85E14">
        <w:rPr>
          <w:i/>
          <w:lang w:val="en-GB"/>
        </w:rPr>
        <w:t xml:space="preserve">Proceedings of the Physical Society of London </w:t>
      </w:r>
      <w:r w:rsidRPr="00B85E14">
        <w:rPr>
          <w:b/>
          <w:lang w:val="en-GB"/>
        </w:rPr>
        <w:t xml:space="preserve">1958, </w:t>
      </w:r>
      <w:r w:rsidRPr="00B85E14">
        <w:rPr>
          <w:i/>
          <w:lang w:val="en-GB"/>
        </w:rPr>
        <w:t>72</w:t>
      </w:r>
      <w:r w:rsidRPr="00B85E14">
        <w:rPr>
          <w:lang w:val="en-GB"/>
        </w:rPr>
        <w:t>, 1001.</w:t>
      </w:r>
      <w:bookmarkEnd w:id="20"/>
    </w:p>
    <w:p w14:paraId="043DFAAF" w14:textId="77777777" w:rsidR="00B97F5E" w:rsidRPr="003E6F5D" w:rsidRDefault="00B97F5E" w:rsidP="003E6F5D">
      <w:pPr>
        <w:pStyle w:val="EndNoteBibliography"/>
      </w:pPr>
      <w:bookmarkStart w:id="21" w:name="_ENREF_20"/>
      <w:r w:rsidRPr="003E6F5D">
        <w:t>[20]</w:t>
      </w:r>
      <w:r w:rsidRPr="003E6F5D">
        <w:tab/>
        <w:t xml:space="preserve">B. Dorner, H. Schober, A. Wonhas, M. Schmitt, D. Strauch, </w:t>
      </w:r>
      <w:r w:rsidRPr="003E6F5D">
        <w:rPr>
          <w:i/>
        </w:rPr>
        <w:t xml:space="preserve">European Physical Journal B </w:t>
      </w:r>
      <w:r w:rsidRPr="003E6F5D">
        <w:rPr>
          <w:b/>
        </w:rPr>
        <w:t xml:space="preserve">1998, </w:t>
      </w:r>
      <w:r w:rsidRPr="003E6F5D">
        <w:rPr>
          <w:i/>
        </w:rPr>
        <w:t>5</w:t>
      </w:r>
      <w:r w:rsidRPr="003E6F5D">
        <w:t>, 839.</w:t>
      </w:r>
      <w:bookmarkEnd w:id="21"/>
    </w:p>
    <w:p w14:paraId="58C6CD0F" w14:textId="77777777" w:rsidR="00B97F5E" w:rsidRPr="00B85E14" w:rsidRDefault="00B97F5E" w:rsidP="003E6F5D">
      <w:pPr>
        <w:pStyle w:val="EndNoteBibliography"/>
        <w:rPr>
          <w:lang w:val="en-GB"/>
        </w:rPr>
      </w:pPr>
      <w:bookmarkStart w:id="22" w:name="_ENREF_21"/>
      <w:r w:rsidRPr="00B85E14">
        <w:rPr>
          <w:lang w:val="en-GB"/>
        </w:rPr>
        <w:t>[21]</w:t>
      </w:r>
      <w:r w:rsidRPr="00B85E14">
        <w:rPr>
          <w:lang w:val="en-GB"/>
        </w:rPr>
        <w:tab/>
        <w:t xml:space="preserve">W. Beyer, U. Zastrow, </w:t>
      </w:r>
      <w:r w:rsidRPr="00B85E14">
        <w:rPr>
          <w:i/>
          <w:lang w:val="en-GB"/>
        </w:rPr>
        <w:t xml:space="preserve">Journal of Non-Crystalline Solids </w:t>
      </w:r>
      <w:r w:rsidRPr="00B85E14">
        <w:rPr>
          <w:b/>
          <w:lang w:val="en-GB"/>
        </w:rPr>
        <w:t xml:space="preserve">2000, </w:t>
      </w:r>
      <w:r w:rsidRPr="00B85E14">
        <w:rPr>
          <w:i/>
          <w:lang w:val="en-GB"/>
        </w:rPr>
        <w:t>266</w:t>
      </w:r>
      <w:r w:rsidRPr="00B85E14">
        <w:rPr>
          <w:lang w:val="en-GB"/>
        </w:rPr>
        <w:t>, 206.</w:t>
      </w:r>
      <w:bookmarkEnd w:id="22"/>
    </w:p>
    <w:p w14:paraId="5DB5AF36" w14:textId="77777777" w:rsidR="00B97F5E" w:rsidRPr="00B85E14" w:rsidRDefault="00B97F5E" w:rsidP="003E6F5D">
      <w:pPr>
        <w:pStyle w:val="EndNoteBibliography"/>
        <w:rPr>
          <w:lang w:val="en-GB"/>
        </w:rPr>
      </w:pPr>
      <w:bookmarkStart w:id="23" w:name="_ENREF_22"/>
      <w:r w:rsidRPr="00B85E14">
        <w:rPr>
          <w:lang w:val="en-GB"/>
        </w:rPr>
        <w:t>[22]</w:t>
      </w:r>
      <w:r w:rsidRPr="00B85E14">
        <w:rPr>
          <w:lang w:val="en-GB"/>
        </w:rPr>
        <w:tab/>
        <w:t xml:space="preserve">W. B. Jackson, N. M. Johnson, C. C. Tsai, I. W. Wu, A. Chiang, D. Smith, </w:t>
      </w:r>
      <w:r w:rsidRPr="00B85E14">
        <w:rPr>
          <w:i/>
          <w:lang w:val="en-GB"/>
        </w:rPr>
        <w:t xml:space="preserve">Applied Physics Letters </w:t>
      </w:r>
      <w:r w:rsidRPr="00B85E14">
        <w:rPr>
          <w:b/>
          <w:lang w:val="en-GB"/>
        </w:rPr>
        <w:t xml:space="preserve">1992, </w:t>
      </w:r>
      <w:r w:rsidRPr="00B85E14">
        <w:rPr>
          <w:i/>
          <w:lang w:val="en-GB"/>
        </w:rPr>
        <w:t>61</w:t>
      </w:r>
      <w:r w:rsidRPr="00B85E14">
        <w:rPr>
          <w:lang w:val="en-GB"/>
        </w:rPr>
        <w:t>, 1670.</w:t>
      </w:r>
      <w:bookmarkEnd w:id="23"/>
    </w:p>
    <w:p w14:paraId="1E0F80A3" w14:textId="77777777" w:rsidR="00B97F5E" w:rsidRPr="00B85E14" w:rsidRDefault="00B97F5E" w:rsidP="003E6F5D">
      <w:pPr>
        <w:pStyle w:val="EndNoteBibliography"/>
        <w:rPr>
          <w:lang w:val="en-GB"/>
        </w:rPr>
      </w:pPr>
      <w:bookmarkStart w:id="24" w:name="_ENREF_23"/>
      <w:r w:rsidRPr="00B85E14">
        <w:rPr>
          <w:lang w:val="en-GB"/>
        </w:rPr>
        <w:t>[23]</w:t>
      </w:r>
      <w:r w:rsidRPr="00B85E14">
        <w:rPr>
          <w:lang w:val="en-GB"/>
        </w:rPr>
        <w:tab/>
        <w:t xml:space="preserve">N. H. Nickel, W. B. Jackson, I. W. Wu, C. C. Tsai, A. Chiang, </w:t>
      </w:r>
      <w:r w:rsidRPr="00B85E14">
        <w:rPr>
          <w:i/>
          <w:lang w:val="en-GB"/>
        </w:rPr>
        <w:t xml:space="preserve">Phys Rev B Condens Matter </w:t>
      </w:r>
      <w:r w:rsidRPr="00B85E14">
        <w:rPr>
          <w:b/>
          <w:lang w:val="en-GB"/>
        </w:rPr>
        <w:t xml:space="preserve">1995, </w:t>
      </w:r>
      <w:r w:rsidRPr="00B85E14">
        <w:rPr>
          <w:i/>
          <w:lang w:val="en-GB"/>
        </w:rPr>
        <w:t>52</w:t>
      </w:r>
      <w:r w:rsidRPr="00B85E14">
        <w:rPr>
          <w:lang w:val="en-GB"/>
        </w:rPr>
        <w:t>, 7791.</w:t>
      </w:r>
      <w:bookmarkEnd w:id="24"/>
    </w:p>
    <w:p w14:paraId="53C6B4C5" w14:textId="1C1CBDA8" w:rsidR="00B97F5E" w:rsidRPr="00892749" w:rsidRDefault="00B97F5E" w:rsidP="003E6F5D">
      <w:pPr>
        <w:pStyle w:val="EndNoteBibliography"/>
        <w:rPr>
          <w:lang w:val="en-GB"/>
        </w:rPr>
      </w:pPr>
      <w:bookmarkStart w:id="25" w:name="_ENREF_24"/>
      <w:r w:rsidRPr="00892749">
        <w:rPr>
          <w:lang w:val="en-GB"/>
        </w:rPr>
        <w:t>[24]</w:t>
      </w:r>
      <w:r w:rsidRPr="00892749">
        <w:rPr>
          <w:lang w:val="en-GB"/>
        </w:rPr>
        <w:tab/>
        <w:t xml:space="preserve">A. Moldovan, F. Feldmann, K. Kaufmann, S. Richter, M. Wemer, C. Hagendorf, M. Zimmer, L. Rentsch, M. Hermle, </w:t>
      </w:r>
      <w:r w:rsidRPr="00892749">
        <w:rPr>
          <w:i/>
          <w:lang w:val="en-GB"/>
        </w:rPr>
        <w:t>2015 I</w:t>
      </w:r>
      <w:r w:rsidR="008A61E1" w:rsidRPr="00892749">
        <w:rPr>
          <w:i/>
          <w:lang w:val="en-GB"/>
        </w:rPr>
        <w:t>EEE</w:t>
      </w:r>
      <w:r w:rsidRPr="00892749">
        <w:rPr>
          <w:i/>
          <w:lang w:val="en-GB"/>
        </w:rPr>
        <w:t xml:space="preserve"> 42nd Photovoltaic Specialist Conference (Pvsc) </w:t>
      </w:r>
      <w:r w:rsidRPr="00892749">
        <w:rPr>
          <w:b/>
          <w:lang w:val="en-GB"/>
        </w:rPr>
        <w:t>2015</w:t>
      </w:r>
      <w:r w:rsidRPr="00892749">
        <w:rPr>
          <w:lang w:val="en-GB"/>
        </w:rPr>
        <w:t>.</w:t>
      </w:r>
      <w:bookmarkEnd w:id="25"/>
    </w:p>
    <w:p w14:paraId="0911D551" w14:textId="77777777" w:rsidR="00B97F5E" w:rsidRPr="00B85E14" w:rsidRDefault="00B97F5E" w:rsidP="003E6F5D">
      <w:pPr>
        <w:pStyle w:val="EndNoteBibliography"/>
        <w:rPr>
          <w:lang w:val="en-GB"/>
        </w:rPr>
      </w:pPr>
      <w:bookmarkStart w:id="26" w:name="_ENREF_25"/>
      <w:r w:rsidRPr="00B85E14">
        <w:rPr>
          <w:lang w:val="en-GB"/>
        </w:rPr>
        <w:t>[25]</w:t>
      </w:r>
      <w:r w:rsidRPr="00B85E14">
        <w:rPr>
          <w:lang w:val="en-GB"/>
        </w:rPr>
        <w:tab/>
        <w:t xml:space="preserve">A. Moldovan, F. Feldmann, G. Krugel, M. Zimmer, J. Rentsch, M. Hermle, A. Roth-Folsch, K. Kaufmann, C. Hagendorf, </w:t>
      </w:r>
      <w:r w:rsidRPr="00B85E14">
        <w:rPr>
          <w:i/>
          <w:lang w:val="en-GB"/>
        </w:rPr>
        <w:t xml:space="preserve">Proceedings of the 4th International Conference on Crystalline Silicon Photovoltaics (Siliconpv 2014) </w:t>
      </w:r>
      <w:r w:rsidRPr="00B85E14">
        <w:rPr>
          <w:b/>
          <w:lang w:val="en-GB"/>
        </w:rPr>
        <w:t xml:space="preserve">2014, </w:t>
      </w:r>
      <w:r w:rsidRPr="00B85E14">
        <w:rPr>
          <w:i/>
          <w:lang w:val="en-GB"/>
        </w:rPr>
        <w:t>55</w:t>
      </w:r>
      <w:r w:rsidRPr="00B85E14">
        <w:rPr>
          <w:lang w:val="en-GB"/>
        </w:rPr>
        <w:t>, 834.</w:t>
      </w:r>
      <w:bookmarkEnd w:id="26"/>
    </w:p>
    <w:p w14:paraId="0C313F8C" w14:textId="77777777" w:rsidR="00B97F5E" w:rsidRPr="00B85E14" w:rsidRDefault="00B97F5E" w:rsidP="003E6F5D">
      <w:pPr>
        <w:pStyle w:val="EndNoteBibliography"/>
        <w:rPr>
          <w:lang w:val="en-GB"/>
        </w:rPr>
      </w:pPr>
      <w:bookmarkStart w:id="27" w:name="_ENREF_26"/>
      <w:r w:rsidRPr="00B85E14">
        <w:rPr>
          <w:lang w:val="en-GB"/>
        </w:rPr>
        <w:t>[26]</w:t>
      </w:r>
      <w:r w:rsidRPr="00B85E14">
        <w:rPr>
          <w:lang w:val="en-GB"/>
        </w:rPr>
        <w:tab/>
        <w:t xml:space="preserve">M. Boccard, N. Rodkey, Z. C. Holman, </w:t>
      </w:r>
      <w:r w:rsidRPr="00B85E14">
        <w:rPr>
          <w:i/>
          <w:lang w:val="en-GB"/>
        </w:rPr>
        <w:t xml:space="preserve">Proceedings of the 6th International Conference on Crystalline Silicon Photovoltaics (Siliconpv 2016) </w:t>
      </w:r>
      <w:r w:rsidRPr="00B85E14">
        <w:rPr>
          <w:b/>
          <w:lang w:val="en-GB"/>
        </w:rPr>
        <w:t xml:space="preserve">2016, </w:t>
      </w:r>
      <w:r w:rsidRPr="00B85E14">
        <w:rPr>
          <w:i/>
          <w:lang w:val="en-GB"/>
        </w:rPr>
        <w:t>92</w:t>
      </w:r>
      <w:r w:rsidRPr="00B85E14">
        <w:rPr>
          <w:lang w:val="en-GB"/>
        </w:rPr>
        <w:t>, 297.</w:t>
      </w:r>
      <w:bookmarkEnd w:id="27"/>
    </w:p>
    <w:p w14:paraId="585F9D66" w14:textId="77777777" w:rsidR="00B97F5E" w:rsidRPr="00B85E14" w:rsidRDefault="00B97F5E" w:rsidP="003E6F5D">
      <w:pPr>
        <w:pStyle w:val="EndNoteBibliography"/>
        <w:rPr>
          <w:lang w:val="en-GB"/>
        </w:rPr>
      </w:pPr>
      <w:bookmarkStart w:id="28" w:name="_ENREF_27"/>
      <w:r w:rsidRPr="00B85E14">
        <w:rPr>
          <w:lang w:val="en-GB"/>
        </w:rPr>
        <w:t>[27]</w:t>
      </w:r>
      <w:r w:rsidRPr="00B85E14">
        <w:rPr>
          <w:lang w:val="en-GB"/>
        </w:rPr>
        <w:tab/>
        <w:t xml:space="preserve">S. Nunomura, I. Sakata, A. Sato, M. Lozac'h, T. Misawa, N. Itagaki, M. Shiratani, </w:t>
      </w:r>
      <w:r w:rsidRPr="00B85E14">
        <w:rPr>
          <w:i/>
          <w:lang w:val="en-GB"/>
        </w:rPr>
        <w:t xml:space="preserve">Journal of Physics and Chemistry of Solids </w:t>
      </w:r>
      <w:r w:rsidRPr="00B85E14">
        <w:rPr>
          <w:b/>
          <w:lang w:val="en-GB"/>
        </w:rPr>
        <w:t xml:space="preserve">2021, </w:t>
      </w:r>
      <w:r w:rsidRPr="00B85E14">
        <w:rPr>
          <w:i/>
          <w:lang w:val="en-GB"/>
        </w:rPr>
        <w:t>156</w:t>
      </w:r>
      <w:r w:rsidRPr="00B85E14">
        <w:rPr>
          <w:lang w:val="en-GB"/>
        </w:rPr>
        <w:t>.</w:t>
      </w:r>
      <w:bookmarkEnd w:id="28"/>
    </w:p>
    <w:p w14:paraId="67262D17" w14:textId="77777777" w:rsidR="00B97F5E" w:rsidRPr="00B85E14" w:rsidRDefault="00B97F5E" w:rsidP="003E6F5D">
      <w:pPr>
        <w:pStyle w:val="EndNoteBibliography"/>
        <w:rPr>
          <w:lang w:val="en-GB"/>
        </w:rPr>
      </w:pPr>
      <w:bookmarkStart w:id="29" w:name="_ENREF_28"/>
      <w:r w:rsidRPr="00B85E14">
        <w:rPr>
          <w:lang w:val="en-GB"/>
        </w:rPr>
        <w:t>[28]</w:t>
      </w:r>
      <w:r w:rsidRPr="00B85E14">
        <w:rPr>
          <w:lang w:val="en-GB"/>
        </w:rPr>
        <w:tab/>
        <w:t xml:space="preserve">M. Pomaska, J. Mock, F. Köhler, U. Zastrow, M. Perani, O. Astakhov, D. Cavalcoli, R. Carius, F. Finger, K. Ding, </w:t>
      </w:r>
      <w:r w:rsidRPr="00B85E14">
        <w:rPr>
          <w:i/>
          <w:lang w:val="en-GB"/>
        </w:rPr>
        <w:t xml:space="preserve">Journal of Applied Physics </w:t>
      </w:r>
      <w:r w:rsidRPr="00B85E14">
        <w:rPr>
          <w:b/>
          <w:lang w:val="en-GB"/>
        </w:rPr>
        <w:t xml:space="preserve">2016, </w:t>
      </w:r>
      <w:r w:rsidRPr="00B85E14">
        <w:rPr>
          <w:i/>
          <w:lang w:val="en-GB"/>
        </w:rPr>
        <w:t>120</w:t>
      </w:r>
      <w:r w:rsidRPr="00B85E14">
        <w:rPr>
          <w:lang w:val="en-GB"/>
        </w:rPr>
        <w:t>, 225105.</w:t>
      </w:r>
      <w:bookmarkEnd w:id="29"/>
    </w:p>
    <w:p w14:paraId="3E9CBFCB" w14:textId="77777777" w:rsidR="00B97F5E" w:rsidRPr="003E6F5D" w:rsidRDefault="00B97F5E" w:rsidP="003E6F5D">
      <w:pPr>
        <w:pStyle w:val="EndNoteBibliography"/>
      </w:pPr>
      <w:bookmarkStart w:id="30" w:name="_ENREF_29"/>
      <w:r w:rsidRPr="003E6F5D">
        <w:t>[29]</w:t>
      </w:r>
      <w:r w:rsidRPr="003E6F5D">
        <w:tab/>
        <w:t xml:space="preserve">S. Li, M. Pomaska, A. Lambertz, W. Duan, K. Bittkau, D. Qiu, Z. Yao, M. Luysberg, P. Steuter, M. Köhler, </w:t>
      </w:r>
      <w:r w:rsidRPr="003E6F5D">
        <w:rPr>
          <w:i/>
        </w:rPr>
        <w:t xml:space="preserve">Joule </w:t>
      </w:r>
      <w:r w:rsidRPr="003E6F5D">
        <w:rPr>
          <w:b/>
        </w:rPr>
        <w:t xml:space="preserve">2021, </w:t>
      </w:r>
      <w:r w:rsidRPr="003E6F5D">
        <w:rPr>
          <w:i/>
        </w:rPr>
        <w:t>5</w:t>
      </w:r>
      <w:r w:rsidRPr="003E6F5D">
        <w:t>, 1535.</w:t>
      </w:r>
      <w:bookmarkEnd w:id="30"/>
    </w:p>
    <w:p w14:paraId="1E76B2ED" w14:textId="77777777" w:rsidR="00B97F5E" w:rsidRPr="00B85E14" w:rsidRDefault="00B97F5E" w:rsidP="003E6F5D">
      <w:pPr>
        <w:pStyle w:val="EndNoteBibliography"/>
        <w:rPr>
          <w:lang w:val="en-GB"/>
        </w:rPr>
      </w:pPr>
      <w:bookmarkStart w:id="31" w:name="_ENREF_30"/>
      <w:r w:rsidRPr="00B85E14">
        <w:rPr>
          <w:lang w:val="en-GB"/>
        </w:rPr>
        <w:t>[30]</w:t>
      </w:r>
      <w:r w:rsidRPr="00B85E14">
        <w:rPr>
          <w:lang w:val="en-GB"/>
        </w:rPr>
        <w:tab/>
        <w:t xml:space="preserve">S. C. Baker-Finch, K. R. McIntosh, </w:t>
      </w:r>
      <w:r w:rsidRPr="00B85E14">
        <w:rPr>
          <w:i/>
          <w:lang w:val="en-GB"/>
        </w:rPr>
        <w:t xml:space="preserve">Progress in Photovoltaics </w:t>
      </w:r>
      <w:r w:rsidRPr="00B85E14">
        <w:rPr>
          <w:b/>
          <w:lang w:val="en-GB"/>
        </w:rPr>
        <w:t xml:space="preserve">2011, </w:t>
      </w:r>
      <w:r w:rsidRPr="00B85E14">
        <w:rPr>
          <w:i/>
          <w:lang w:val="en-GB"/>
        </w:rPr>
        <w:t>19</w:t>
      </w:r>
      <w:r w:rsidRPr="00B85E14">
        <w:rPr>
          <w:lang w:val="en-GB"/>
        </w:rPr>
        <w:t>, 406.</w:t>
      </w:r>
      <w:bookmarkEnd w:id="31"/>
    </w:p>
    <w:p w14:paraId="4ABB0251" w14:textId="2AB99773" w:rsidR="00B97F5E" w:rsidRPr="00B85E14" w:rsidRDefault="00B97F5E" w:rsidP="003E6F5D">
      <w:pPr>
        <w:pStyle w:val="EndNoteBibliography"/>
        <w:rPr>
          <w:lang w:val="en-GB"/>
        </w:rPr>
      </w:pPr>
      <w:bookmarkStart w:id="32" w:name="_ENREF_31"/>
      <w:r w:rsidRPr="00B85E14">
        <w:rPr>
          <w:lang w:val="en-GB"/>
        </w:rPr>
        <w:t>[31]</w:t>
      </w:r>
      <w:r w:rsidRPr="00B85E14">
        <w:rPr>
          <w:lang w:val="en-GB"/>
        </w:rPr>
        <w:tab/>
        <w:t xml:space="preserve">S. C. Baker-Finch, K. R. McIntosh, </w:t>
      </w:r>
      <w:r w:rsidRPr="00B85E14">
        <w:rPr>
          <w:i/>
          <w:lang w:val="en-GB"/>
        </w:rPr>
        <w:t>35th I</w:t>
      </w:r>
      <w:r w:rsidR="008A61E1">
        <w:rPr>
          <w:i/>
          <w:lang w:val="en-GB"/>
        </w:rPr>
        <w:t>EEE</w:t>
      </w:r>
      <w:r w:rsidRPr="00B85E14">
        <w:rPr>
          <w:i/>
          <w:lang w:val="en-GB"/>
        </w:rPr>
        <w:t xml:space="preserve"> Photovoltaic Specialists Conference </w:t>
      </w:r>
      <w:r w:rsidRPr="00B85E14">
        <w:rPr>
          <w:b/>
          <w:lang w:val="en-GB"/>
        </w:rPr>
        <w:t xml:space="preserve">2010, </w:t>
      </w:r>
      <w:r w:rsidRPr="00B85E14">
        <w:rPr>
          <w:lang w:val="en-GB"/>
        </w:rPr>
        <w:t>2184.</w:t>
      </w:r>
      <w:bookmarkEnd w:id="32"/>
    </w:p>
    <w:p w14:paraId="0354BD90" w14:textId="79C64B26" w:rsidR="00B97F5E" w:rsidRPr="00B85E14" w:rsidRDefault="00B97F5E" w:rsidP="003E6F5D">
      <w:pPr>
        <w:pStyle w:val="EndNoteBibliography"/>
        <w:rPr>
          <w:lang w:val="en-GB"/>
        </w:rPr>
      </w:pPr>
      <w:bookmarkStart w:id="33" w:name="_ENREF_32"/>
      <w:r w:rsidRPr="00B85E14">
        <w:rPr>
          <w:lang w:val="en-GB"/>
        </w:rPr>
        <w:t>[32]</w:t>
      </w:r>
      <w:r w:rsidRPr="00B85E14">
        <w:rPr>
          <w:lang w:val="en-GB"/>
        </w:rPr>
        <w:tab/>
        <w:t xml:space="preserve">K. R. McIntosh, S. C. Baker-Finch, </w:t>
      </w:r>
      <w:r w:rsidRPr="00B85E14">
        <w:rPr>
          <w:i/>
          <w:lang w:val="en-GB"/>
        </w:rPr>
        <w:t>2012 38th I</w:t>
      </w:r>
      <w:r w:rsidR="008A61E1">
        <w:rPr>
          <w:i/>
          <w:lang w:val="en-GB"/>
        </w:rPr>
        <w:t>EEE</w:t>
      </w:r>
      <w:r w:rsidRPr="00B85E14">
        <w:rPr>
          <w:i/>
          <w:lang w:val="en-GB"/>
        </w:rPr>
        <w:t xml:space="preserve"> Photovoltaic Specialists Conference (Pvsc) </w:t>
      </w:r>
      <w:r w:rsidRPr="00B85E14">
        <w:rPr>
          <w:b/>
          <w:lang w:val="en-GB"/>
        </w:rPr>
        <w:t xml:space="preserve">2012, </w:t>
      </w:r>
      <w:r w:rsidRPr="00B85E14">
        <w:rPr>
          <w:lang w:val="en-GB"/>
        </w:rPr>
        <w:t>265.</w:t>
      </w:r>
      <w:bookmarkEnd w:id="33"/>
    </w:p>
    <w:p w14:paraId="64F8F282" w14:textId="01CD1162" w:rsidR="00B97F5E" w:rsidRPr="00B85E14" w:rsidRDefault="00B97F5E" w:rsidP="003E6F5D">
      <w:pPr>
        <w:pStyle w:val="EndNoteBibliography"/>
        <w:rPr>
          <w:lang w:val="en-GB"/>
        </w:rPr>
      </w:pPr>
      <w:bookmarkStart w:id="34" w:name="_ENREF_33"/>
      <w:r w:rsidRPr="00B85E14">
        <w:rPr>
          <w:lang w:val="en-GB"/>
        </w:rPr>
        <w:t>[33]</w:t>
      </w:r>
      <w:r w:rsidRPr="00B85E14">
        <w:rPr>
          <w:lang w:val="en-GB"/>
        </w:rPr>
        <w:tab/>
        <w:t xml:space="preserve">A. Fell, P. P. Altermatt, </w:t>
      </w:r>
      <w:r w:rsidRPr="00B85E14">
        <w:rPr>
          <w:i/>
          <w:lang w:val="en-GB"/>
        </w:rPr>
        <w:t>I</w:t>
      </w:r>
      <w:r w:rsidR="008A61E1">
        <w:rPr>
          <w:i/>
          <w:lang w:val="en-GB"/>
        </w:rPr>
        <w:t>EEE</w:t>
      </w:r>
      <w:r w:rsidRPr="00B85E14">
        <w:rPr>
          <w:i/>
          <w:lang w:val="en-GB"/>
        </w:rPr>
        <w:t xml:space="preserve"> Journal of Photovoltaics </w:t>
      </w:r>
      <w:r w:rsidRPr="00B85E14">
        <w:rPr>
          <w:b/>
          <w:lang w:val="en-GB"/>
        </w:rPr>
        <w:t xml:space="preserve">2018, </w:t>
      </w:r>
      <w:r w:rsidRPr="00B85E14">
        <w:rPr>
          <w:i/>
          <w:lang w:val="en-GB"/>
        </w:rPr>
        <w:t>8</w:t>
      </w:r>
      <w:r w:rsidRPr="00B85E14">
        <w:rPr>
          <w:lang w:val="en-GB"/>
        </w:rPr>
        <w:t>, 1443.</w:t>
      </w:r>
      <w:bookmarkEnd w:id="34"/>
    </w:p>
    <w:p w14:paraId="3D7C6415" w14:textId="73FC5F7A" w:rsidR="00B97F5E" w:rsidRPr="00B85E14" w:rsidRDefault="00B97F5E" w:rsidP="003E6F5D">
      <w:pPr>
        <w:pStyle w:val="EndNoteBibliography"/>
        <w:rPr>
          <w:lang w:val="en-GB"/>
        </w:rPr>
      </w:pPr>
      <w:bookmarkStart w:id="35" w:name="_ENREF_34"/>
      <w:r w:rsidRPr="00B85E14">
        <w:rPr>
          <w:lang w:val="en-GB"/>
        </w:rPr>
        <w:lastRenderedPageBreak/>
        <w:t>[34]</w:t>
      </w:r>
      <w:r w:rsidRPr="00B85E14">
        <w:rPr>
          <w:lang w:val="en-GB"/>
        </w:rPr>
        <w:tab/>
        <w:t xml:space="preserve">A. Fell, K. R. McIntosh, K. C. Fong, </w:t>
      </w:r>
      <w:r w:rsidR="008A61E1">
        <w:rPr>
          <w:i/>
          <w:lang w:val="en-GB"/>
        </w:rPr>
        <w:t>IEEE</w:t>
      </w:r>
      <w:r w:rsidRPr="00B85E14">
        <w:rPr>
          <w:i/>
          <w:lang w:val="en-GB"/>
        </w:rPr>
        <w:t xml:space="preserve"> Journal of Photovoltaics </w:t>
      </w:r>
      <w:r w:rsidRPr="00B85E14">
        <w:rPr>
          <w:b/>
          <w:lang w:val="en-GB"/>
        </w:rPr>
        <w:t xml:space="preserve">2016, </w:t>
      </w:r>
      <w:r w:rsidRPr="00B85E14">
        <w:rPr>
          <w:i/>
          <w:lang w:val="en-GB"/>
        </w:rPr>
        <w:t>6</w:t>
      </w:r>
      <w:r w:rsidRPr="00B85E14">
        <w:rPr>
          <w:lang w:val="en-GB"/>
        </w:rPr>
        <w:t>, 611.</w:t>
      </w:r>
      <w:bookmarkEnd w:id="35"/>
    </w:p>
    <w:p w14:paraId="681857F6" w14:textId="5D7F07BC" w:rsidR="00B97F5E" w:rsidRPr="00B85E14" w:rsidRDefault="00B97F5E" w:rsidP="003E6F5D">
      <w:pPr>
        <w:pStyle w:val="EndNoteBibliography"/>
        <w:rPr>
          <w:lang w:val="en-GB"/>
        </w:rPr>
      </w:pPr>
      <w:bookmarkStart w:id="36" w:name="_ENREF_35"/>
      <w:r w:rsidRPr="00B85E14">
        <w:rPr>
          <w:lang w:val="en-GB"/>
        </w:rPr>
        <w:t>[35]</w:t>
      </w:r>
      <w:r w:rsidRPr="00B85E14">
        <w:rPr>
          <w:lang w:val="en-GB"/>
        </w:rPr>
        <w:tab/>
        <w:t xml:space="preserve">A. Fell, J. Schon, M. Muller, N. Wohrle, M. C. Schubert, S. W. Glunz, </w:t>
      </w:r>
      <w:r w:rsidRPr="00B85E14">
        <w:rPr>
          <w:i/>
          <w:lang w:val="en-GB"/>
        </w:rPr>
        <w:t>I</w:t>
      </w:r>
      <w:r w:rsidR="008A61E1">
        <w:rPr>
          <w:i/>
          <w:lang w:val="en-GB"/>
        </w:rPr>
        <w:t>EEE</w:t>
      </w:r>
      <w:r w:rsidRPr="00B85E14">
        <w:rPr>
          <w:i/>
          <w:lang w:val="en-GB"/>
        </w:rPr>
        <w:t xml:space="preserve"> Journal of Photovoltaics </w:t>
      </w:r>
      <w:r w:rsidRPr="00B85E14">
        <w:rPr>
          <w:b/>
          <w:lang w:val="en-GB"/>
        </w:rPr>
        <w:t xml:space="preserve">2018, </w:t>
      </w:r>
      <w:r w:rsidRPr="00B85E14">
        <w:rPr>
          <w:i/>
          <w:lang w:val="en-GB"/>
        </w:rPr>
        <w:t>8</w:t>
      </w:r>
      <w:r w:rsidRPr="00B85E14">
        <w:rPr>
          <w:lang w:val="en-GB"/>
        </w:rPr>
        <w:t>, 428.</w:t>
      </w:r>
      <w:bookmarkEnd w:id="36"/>
    </w:p>
    <w:p w14:paraId="08F36C82" w14:textId="77777777" w:rsidR="00B97F5E" w:rsidRPr="00B85E14" w:rsidRDefault="00B97F5E" w:rsidP="003E6F5D">
      <w:pPr>
        <w:pStyle w:val="EndNoteBibliography"/>
        <w:rPr>
          <w:lang w:val="en-GB"/>
        </w:rPr>
      </w:pPr>
      <w:bookmarkStart w:id="37" w:name="_ENREF_36"/>
      <w:r w:rsidRPr="00B85E14">
        <w:rPr>
          <w:lang w:val="en-GB"/>
        </w:rPr>
        <w:t>[36]</w:t>
      </w:r>
      <w:r w:rsidRPr="00B85E14">
        <w:rPr>
          <w:lang w:val="en-GB"/>
        </w:rPr>
        <w:tab/>
        <w:t xml:space="preserve">A. Fell, J. Schon, M. C. Schubert, S. W. Glunz, </w:t>
      </w:r>
      <w:r w:rsidRPr="00B85E14">
        <w:rPr>
          <w:i/>
          <w:lang w:val="en-GB"/>
        </w:rPr>
        <w:t xml:space="preserve">Solar Energy Materials and Solar Cells </w:t>
      </w:r>
      <w:r w:rsidRPr="00B85E14">
        <w:rPr>
          <w:b/>
          <w:lang w:val="en-GB"/>
        </w:rPr>
        <w:t xml:space="preserve">2017, </w:t>
      </w:r>
      <w:r w:rsidRPr="00B85E14">
        <w:rPr>
          <w:i/>
          <w:lang w:val="en-GB"/>
        </w:rPr>
        <w:t>173</w:t>
      </w:r>
      <w:r w:rsidRPr="00B85E14">
        <w:rPr>
          <w:lang w:val="en-GB"/>
        </w:rPr>
        <w:t>, 128.</w:t>
      </w:r>
      <w:bookmarkEnd w:id="37"/>
    </w:p>
    <w:p w14:paraId="7D967F87" w14:textId="232FC42B" w:rsidR="00B97F5E" w:rsidRPr="008A61E1" w:rsidRDefault="00B97F5E" w:rsidP="003E6F5D">
      <w:pPr>
        <w:pStyle w:val="EndNoteBibliography"/>
        <w:rPr>
          <w:lang w:val="en-GB"/>
        </w:rPr>
      </w:pPr>
      <w:bookmarkStart w:id="38" w:name="_ENREF_37"/>
      <w:r w:rsidRPr="008A61E1">
        <w:rPr>
          <w:lang w:val="en-GB"/>
        </w:rPr>
        <w:t>[37]</w:t>
      </w:r>
      <w:r w:rsidRPr="008A61E1">
        <w:rPr>
          <w:lang w:val="en-GB"/>
        </w:rPr>
        <w:tab/>
        <w:t xml:space="preserve">H. T. Gebrewold, K. Bittkau, K. Qiu, K. Ding, </w:t>
      </w:r>
      <w:r w:rsidR="00C62374" w:rsidRPr="00C62374">
        <w:rPr>
          <w:i/>
          <w:lang w:val="en-GB"/>
        </w:rPr>
        <w:t>2021 IEEE 48th Photovoltaic Specialists Conference (PVSC)</w:t>
      </w:r>
      <w:r w:rsidRPr="008A61E1">
        <w:rPr>
          <w:i/>
          <w:lang w:val="en-GB"/>
        </w:rPr>
        <w:t xml:space="preserve"> </w:t>
      </w:r>
      <w:r w:rsidRPr="008A61E1">
        <w:rPr>
          <w:b/>
          <w:lang w:val="en-GB"/>
        </w:rPr>
        <w:t xml:space="preserve">2021, </w:t>
      </w:r>
      <w:r w:rsidRPr="008A61E1">
        <w:rPr>
          <w:lang w:val="en-GB"/>
        </w:rPr>
        <w:t>1115.</w:t>
      </w:r>
      <w:bookmarkEnd w:id="38"/>
    </w:p>
    <w:p w14:paraId="11A7691D" w14:textId="77777777" w:rsidR="00B97F5E" w:rsidRPr="00B85E14" w:rsidRDefault="00B97F5E" w:rsidP="003E6F5D">
      <w:pPr>
        <w:pStyle w:val="EndNoteBibliography"/>
        <w:rPr>
          <w:lang w:val="en-GB"/>
        </w:rPr>
      </w:pPr>
      <w:bookmarkStart w:id="39" w:name="_ENREF_38"/>
      <w:r w:rsidRPr="00B85E14">
        <w:rPr>
          <w:lang w:val="en-GB"/>
        </w:rPr>
        <w:t>[38]</w:t>
      </w:r>
      <w:r w:rsidRPr="00B85E14">
        <w:rPr>
          <w:lang w:val="en-GB"/>
        </w:rPr>
        <w:tab/>
        <w:t xml:space="preserve">P. Procel, P. Löper, F. Crupi, C. Ballif, A. Ingenito, </w:t>
      </w:r>
      <w:r w:rsidRPr="00B85E14">
        <w:rPr>
          <w:i/>
          <w:lang w:val="en-GB"/>
        </w:rPr>
        <w:t xml:space="preserve">Solar Energy Materials and Solar Cells </w:t>
      </w:r>
      <w:r w:rsidRPr="00B85E14">
        <w:rPr>
          <w:b/>
          <w:lang w:val="en-GB"/>
        </w:rPr>
        <w:t xml:space="preserve">2019, </w:t>
      </w:r>
      <w:r w:rsidRPr="00B85E14">
        <w:rPr>
          <w:i/>
          <w:lang w:val="en-GB"/>
        </w:rPr>
        <w:t>200</w:t>
      </w:r>
      <w:r w:rsidRPr="00B85E14">
        <w:rPr>
          <w:lang w:val="en-GB"/>
        </w:rPr>
        <w:t>, 109937.</w:t>
      </w:r>
      <w:bookmarkEnd w:id="39"/>
    </w:p>
    <w:p w14:paraId="5E7835CE" w14:textId="77777777" w:rsidR="00B97F5E" w:rsidRPr="00B85E14" w:rsidRDefault="00B97F5E" w:rsidP="00B85E14">
      <w:pPr>
        <w:pStyle w:val="MainText"/>
        <w:jc w:val="both"/>
        <w:rPr>
          <w:lang w:val="en-GB"/>
        </w:rPr>
      </w:pPr>
      <w:r w:rsidRPr="003E6F5D">
        <w:rPr>
          <w:lang w:val="en-GB"/>
        </w:rPr>
        <w:br w:type="page"/>
      </w:r>
    </w:p>
    <w:p w14:paraId="44B5097C" w14:textId="77777777" w:rsidR="00B97F5E" w:rsidRPr="00B85E14" w:rsidRDefault="00B97F5E" w:rsidP="008472AF">
      <w:pPr>
        <w:pStyle w:val="MainText"/>
        <w:spacing w:line="360" w:lineRule="auto"/>
        <w:jc w:val="both"/>
        <w:rPr>
          <w:lang w:val="en-GB"/>
        </w:rPr>
      </w:pPr>
    </w:p>
    <w:p w14:paraId="7039B83B" w14:textId="77777777" w:rsidR="00B97F5E" w:rsidRPr="00B85E14" w:rsidRDefault="00B97F5E" w:rsidP="00950BFE">
      <w:pPr>
        <w:pStyle w:val="Literature"/>
        <w:spacing w:line="360" w:lineRule="auto"/>
        <w:jc w:val="both"/>
        <w:rPr>
          <w:lang w:val="en-GB"/>
        </w:rPr>
      </w:pPr>
    </w:p>
    <w:p w14:paraId="715D95A2" w14:textId="77777777" w:rsidR="00B97F5E" w:rsidRPr="00B85E14" w:rsidRDefault="00B97F5E" w:rsidP="00950BFE">
      <w:pPr>
        <w:pStyle w:val="Literature"/>
        <w:spacing w:line="360" w:lineRule="auto"/>
        <w:jc w:val="both"/>
        <w:rPr>
          <w:lang w:val="en-GB"/>
        </w:rPr>
      </w:pPr>
    </w:p>
    <w:p w14:paraId="2E425EC4" w14:textId="77777777" w:rsidR="00B97F5E" w:rsidRPr="00B85E14" w:rsidRDefault="00B97F5E" w:rsidP="00950BFE">
      <w:pPr>
        <w:pStyle w:val="Literature"/>
        <w:spacing w:line="360" w:lineRule="auto"/>
        <w:jc w:val="both"/>
        <w:rPr>
          <w:lang w:val="en-GB"/>
        </w:rPr>
        <w:sectPr w:rsidR="00B97F5E" w:rsidRPr="00B85E14" w:rsidSect="00B97F5E">
          <w:headerReference w:type="default" r:id="rId12"/>
          <w:footerReference w:type="default" r:id="rId13"/>
          <w:pgSz w:w="11906" w:h="16838"/>
          <w:pgMar w:top="1417" w:right="1417" w:bottom="1134" w:left="1417" w:header="708" w:footer="708" w:gutter="0"/>
          <w:cols w:space="708"/>
          <w:docGrid w:linePitch="360"/>
        </w:sectPr>
      </w:pPr>
    </w:p>
    <w:p w14:paraId="433A42DF" w14:textId="77777777" w:rsidR="00B97F5E" w:rsidRPr="00C62374" w:rsidRDefault="00B97F5E" w:rsidP="00950BFE">
      <w:pPr>
        <w:spacing w:line="360" w:lineRule="auto"/>
        <w:jc w:val="both"/>
        <w:rPr>
          <w:color w:val="FF0000"/>
          <w:lang w:val="en-US"/>
        </w:rPr>
      </w:pPr>
      <w:r w:rsidRPr="00C62374">
        <w:rPr>
          <w:color w:val="FF0000"/>
          <w:lang w:val="en-US"/>
        </w:rPr>
        <w:t>((</w:t>
      </w:r>
      <w:r w:rsidRPr="00C62374">
        <w:rPr>
          <w:b/>
          <w:color w:val="FF0000"/>
          <w:lang w:val="en-US"/>
        </w:rPr>
        <w:t xml:space="preserve">For Reviews and Perspectives, </w:t>
      </w:r>
      <w:r w:rsidRPr="00C62374">
        <w:rPr>
          <w:color w:val="FF0000"/>
          <w:lang w:val="en-US"/>
        </w:rPr>
        <w:t>please insert author biographies and photographs here</w:t>
      </w:r>
      <w:r w:rsidRPr="00C62374">
        <w:rPr>
          <w:rFonts w:ascii="Open Sans" w:eastAsiaTheme="minorEastAsia" w:hAnsi="Open Sans" w:cs="Open Sans"/>
          <w:color w:val="FF0000"/>
          <w:sz w:val="18"/>
          <w:szCs w:val="20"/>
          <w:lang w:val="en-US" w:eastAsia="de-DE"/>
        </w:rPr>
        <w:t xml:space="preserve"> </w:t>
      </w:r>
      <w:r w:rsidRPr="00C62374">
        <w:rPr>
          <w:color w:val="FF0000"/>
          <w:lang w:val="en-US"/>
        </w:rPr>
        <w:t>for those authors who should be highlighted, max. 100 words each))</w:t>
      </w:r>
    </w:p>
    <w:p w14:paraId="2D242B4C" w14:textId="77777777" w:rsidR="00B97F5E" w:rsidRPr="00C62374" w:rsidRDefault="00B97F5E" w:rsidP="00950BFE">
      <w:pPr>
        <w:pStyle w:val="Biography"/>
        <w:spacing w:line="360" w:lineRule="auto"/>
        <w:jc w:val="both"/>
        <w:rPr>
          <w:color w:val="FF0000"/>
        </w:rPr>
      </w:pPr>
    </w:p>
    <w:p w14:paraId="5F9DC49F" w14:textId="77777777" w:rsidR="00B97F5E" w:rsidRPr="00C62374" w:rsidRDefault="00B97F5E" w:rsidP="00950BFE">
      <w:pPr>
        <w:spacing w:line="360" w:lineRule="auto"/>
        <w:jc w:val="both"/>
        <w:rPr>
          <w:color w:val="FF0000"/>
          <w:lang w:val="en-US"/>
        </w:rPr>
      </w:pPr>
      <w:r w:rsidRPr="00C62374">
        <w:rPr>
          <w:color w:val="FF0000"/>
          <w:lang w:val="en-US"/>
        </w:rPr>
        <w:t>Author Photograph(s) ((</w:t>
      </w:r>
      <w:smartTag w:uri="urn:schemas-microsoft-com:office:smarttags" w:element="metricconverter">
        <w:smartTagPr>
          <w:attr w:name="ProductID" w:val="40 mm"/>
        </w:smartTagPr>
        <w:r w:rsidRPr="00C62374">
          <w:rPr>
            <w:color w:val="FF0000"/>
            <w:lang w:val="en-US"/>
          </w:rPr>
          <w:t>40 mm</w:t>
        </w:r>
      </w:smartTag>
      <w:r w:rsidRPr="00C62374">
        <w:rPr>
          <w:color w:val="FF0000"/>
          <w:lang w:val="en-US"/>
        </w:rPr>
        <w:t xml:space="preserve"> broad, </w:t>
      </w:r>
      <w:smartTag w:uri="urn:schemas-microsoft-com:office:smarttags" w:element="metricconverter">
        <w:smartTagPr>
          <w:attr w:name="ProductID" w:val="50 mm"/>
        </w:smartTagPr>
        <w:r w:rsidRPr="00C62374">
          <w:rPr>
            <w:color w:val="FF0000"/>
            <w:lang w:val="en-US"/>
          </w:rPr>
          <w:t>50 mm</w:t>
        </w:r>
      </w:smartTag>
      <w:r w:rsidRPr="00C62374">
        <w:rPr>
          <w:color w:val="FF0000"/>
          <w:lang w:val="en-US"/>
        </w:rPr>
        <w:t xml:space="preserve"> high, color or grayscale))</w:t>
      </w:r>
    </w:p>
    <w:p w14:paraId="1BF4F1D2" w14:textId="1F5A155B" w:rsidR="003A7A0B" w:rsidRDefault="003A7A0B" w:rsidP="00C62374">
      <w:pPr>
        <w:pStyle w:val="Tableofcontents"/>
        <w:spacing w:line="360" w:lineRule="auto"/>
        <w:jc w:val="both"/>
      </w:pPr>
    </w:p>
    <w:sectPr w:rsidR="003A7A0B" w:rsidSect="00B85E14">
      <w:type w:val="continuous"/>
      <w:pgSz w:w="11906" w:h="16838"/>
      <w:pgMar w:top="1417" w:right="1417" w:bottom="1134" w:left="1417" w:header="708" w:footer="708" w:gutter="0"/>
      <w:lnNumType w:countBy="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1E2E88" w14:textId="77777777" w:rsidR="00072710" w:rsidRDefault="00072710">
      <w:r>
        <w:separator/>
      </w:r>
    </w:p>
  </w:endnote>
  <w:endnote w:type="continuationSeparator" w:id="0">
    <w:p w14:paraId="5572576E" w14:textId="77777777" w:rsidR="00072710" w:rsidRDefault="00072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Open Sans">
    <w:altName w:val="Verdana"/>
    <w:charset w:val="00"/>
    <w:family w:val="swiss"/>
    <w:pitch w:val="variable"/>
    <w:sig w:usb0="00000001"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5E07E9" w14:textId="5C1605E5" w:rsidR="00C95414" w:rsidRDefault="00B97F5E">
    <w:pPr>
      <w:pStyle w:val="Fuzeile"/>
      <w:jc w:val="center"/>
    </w:pPr>
    <w:r>
      <w:fldChar w:fldCharType="begin"/>
    </w:r>
    <w:r>
      <w:instrText>PAGE   \* MERGEFORMAT</w:instrText>
    </w:r>
    <w:r>
      <w:fldChar w:fldCharType="separate"/>
    </w:r>
    <w:r w:rsidR="00666C02">
      <w:rPr>
        <w:noProof/>
      </w:rPr>
      <w:t>1</w:t>
    </w:r>
    <w:r>
      <w:fldChar w:fldCharType="end"/>
    </w:r>
  </w:p>
  <w:p w14:paraId="64626EA7" w14:textId="77777777" w:rsidR="00C95414" w:rsidRDefault="00072710" w:rsidP="00881456">
    <w:pPr>
      <w:pStyle w:val="Fuzeil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AEBF6D" w14:textId="77777777" w:rsidR="00072710" w:rsidRDefault="00072710">
      <w:r>
        <w:separator/>
      </w:r>
    </w:p>
  </w:footnote>
  <w:footnote w:type="continuationSeparator" w:id="0">
    <w:p w14:paraId="17F0C172" w14:textId="77777777" w:rsidR="00072710" w:rsidRDefault="000727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5DF9FA" w14:textId="77777777" w:rsidR="00C95414" w:rsidRPr="009B44CC" w:rsidRDefault="00B97F5E" w:rsidP="009B44CC">
    <w:pPr>
      <w:pStyle w:val="Kopfzeile"/>
      <w:tabs>
        <w:tab w:val="left" w:pos="5003"/>
      </w:tabs>
      <w:jc w:val="right"/>
      <w:rPr>
        <w:lang w:val="en-US"/>
      </w:rPr>
    </w:pPr>
    <w:r>
      <w:tab/>
    </w:r>
    <w:r w:rsidRPr="00302E7A">
      <w:rPr>
        <w:noProof/>
        <w:lang w:val="de-DE" w:eastAsia="de-DE"/>
      </w:rPr>
      <w:drawing>
        <wp:inline distT="0" distB="0" distL="0" distR="0" wp14:anchorId="4967FD5F" wp14:editId="3570106F">
          <wp:extent cx="1488440" cy="414655"/>
          <wp:effectExtent l="0" t="0" r="0" b="0"/>
          <wp:docPr id="11" name="Picture 2" descr="Wiley-VCH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ley-VCH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8440" cy="41465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B97F5E"/>
    <w:rsid w:val="00072710"/>
    <w:rsid w:val="00151320"/>
    <w:rsid w:val="0017114C"/>
    <w:rsid w:val="00316738"/>
    <w:rsid w:val="003A6460"/>
    <w:rsid w:val="003A7A0B"/>
    <w:rsid w:val="005D1772"/>
    <w:rsid w:val="00666C02"/>
    <w:rsid w:val="00721081"/>
    <w:rsid w:val="007B7185"/>
    <w:rsid w:val="00836E3D"/>
    <w:rsid w:val="00892749"/>
    <w:rsid w:val="008A61E1"/>
    <w:rsid w:val="00904FD1"/>
    <w:rsid w:val="0093187C"/>
    <w:rsid w:val="00984ADF"/>
    <w:rsid w:val="009A09A7"/>
    <w:rsid w:val="009A2609"/>
    <w:rsid w:val="00B97F5E"/>
    <w:rsid w:val="00BB4ADE"/>
    <w:rsid w:val="00C62374"/>
    <w:rsid w:val="00E87976"/>
    <w:rsid w:val="00FF6ACC"/>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725CB9B"/>
  <w15:chartTrackingRefBased/>
  <w15:docId w15:val="{F44F3150-687D-4AE9-AF4A-BC20F58EF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97F5E"/>
    <w:pPr>
      <w:spacing w:after="0" w:line="240" w:lineRule="auto"/>
    </w:pPr>
    <w:rPr>
      <w:rFonts w:ascii="Times New Roman" w:eastAsia="MS Mincho" w:hAnsi="Times New Roman" w:cs="Times New Roman"/>
      <w:sz w:val="24"/>
      <w:szCs w:val="24"/>
      <w:lang w:val="de-DE" w:eastAsia="ja-JP"/>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istory">
    <w:name w:val="History"/>
    <w:basedOn w:val="Standard"/>
    <w:rsid w:val="00B97F5E"/>
    <w:pPr>
      <w:spacing w:before="230" w:after="460" w:line="180" w:lineRule="exact"/>
      <w:jc w:val="right"/>
    </w:pPr>
    <w:rPr>
      <w:rFonts w:ascii="Arial" w:hAnsi="Arial"/>
      <w:sz w:val="14"/>
      <w:szCs w:val="16"/>
    </w:rPr>
  </w:style>
  <w:style w:type="paragraph" w:customStyle="1" w:styleId="References">
    <w:name w:val="References"/>
    <w:basedOn w:val="Standard"/>
    <w:rsid w:val="00B97F5E"/>
    <w:pPr>
      <w:spacing w:line="200" w:lineRule="exact"/>
      <w:ind w:left="425" w:hanging="425"/>
      <w:jc w:val="both"/>
    </w:pPr>
    <w:rPr>
      <w:sz w:val="15"/>
      <w:szCs w:val="14"/>
      <w:lang w:val="en-GB"/>
    </w:rPr>
  </w:style>
  <w:style w:type="paragraph" w:customStyle="1" w:styleId="HExperimentalSection">
    <w:name w:val="HExperimental_Section"/>
    <w:basedOn w:val="Standard"/>
    <w:rsid w:val="00B97F5E"/>
    <w:pPr>
      <w:spacing w:before="460" w:after="230" w:line="230" w:lineRule="atLeast"/>
    </w:pPr>
    <w:rPr>
      <w:i/>
      <w:szCs w:val="20"/>
    </w:rPr>
  </w:style>
  <w:style w:type="paragraph" w:customStyle="1" w:styleId="ExperimentalSection">
    <w:name w:val="ExperimentalSection"/>
    <w:basedOn w:val="Standard"/>
    <w:rsid w:val="00B97F5E"/>
    <w:pPr>
      <w:spacing w:after="240" w:line="200" w:lineRule="exact"/>
      <w:ind w:firstLine="170"/>
      <w:jc w:val="both"/>
    </w:pPr>
    <w:rPr>
      <w:sz w:val="16"/>
      <w:szCs w:val="14"/>
      <w:lang w:val="en-GB"/>
    </w:rPr>
  </w:style>
  <w:style w:type="paragraph" w:customStyle="1" w:styleId="FNB">
    <w:name w:val="FNB"/>
    <w:basedOn w:val="Standard"/>
    <w:link w:val="FNBChar"/>
    <w:rsid w:val="00B97F5E"/>
    <w:pPr>
      <w:widowControl w:val="0"/>
      <w:spacing w:after="40" w:line="160" w:lineRule="exact"/>
      <w:ind w:left="567" w:right="4434" w:hanging="567"/>
      <w:jc w:val="both"/>
    </w:pPr>
    <w:rPr>
      <w:rFonts w:ascii="Times" w:hAnsi="Times"/>
      <w:sz w:val="14"/>
      <w:szCs w:val="3276"/>
      <w:lang w:val="en-GB" w:eastAsia="de-DE"/>
    </w:rPr>
  </w:style>
  <w:style w:type="character" w:customStyle="1" w:styleId="FNBChar">
    <w:name w:val="FNB Char"/>
    <w:link w:val="FNB"/>
    <w:rsid w:val="00B97F5E"/>
    <w:rPr>
      <w:rFonts w:ascii="Times" w:eastAsia="MS Mincho" w:hAnsi="Times" w:cs="Times New Roman"/>
      <w:sz w:val="14"/>
      <w:szCs w:val="3276"/>
      <w:lang w:eastAsia="de-DE"/>
    </w:rPr>
  </w:style>
  <w:style w:type="paragraph" w:customStyle="1" w:styleId="Ack">
    <w:name w:val="Ack"/>
    <w:basedOn w:val="Standard"/>
    <w:rsid w:val="00B97F5E"/>
  </w:style>
  <w:style w:type="paragraph" w:customStyle="1" w:styleId="TableCaption">
    <w:name w:val="TableCaption"/>
    <w:basedOn w:val="Standard"/>
    <w:rsid w:val="00B97F5E"/>
    <w:pPr>
      <w:spacing w:after="120" w:line="190" w:lineRule="exact"/>
      <w:jc w:val="both"/>
    </w:pPr>
    <w:rPr>
      <w:rFonts w:ascii="Arial" w:hAnsi="Arial"/>
      <w:sz w:val="16"/>
      <w:szCs w:val="14"/>
      <w:lang w:val="en-GB"/>
    </w:rPr>
  </w:style>
  <w:style w:type="paragraph" w:customStyle="1" w:styleId="TableHead">
    <w:name w:val="TableHead"/>
    <w:basedOn w:val="TableCaption"/>
    <w:rsid w:val="00B97F5E"/>
    <w:pPr>
      <w:pBdr>
        <w:top w:val="single" w:sz="4" w:space="4" w:color="FFFFFF"/>
        <w:left w:val="single" w:sz="4" w:space="4" w:color="FFFFFF"/>
        <w:bottom w:val="single" w:sz="4" w:space="4" w:color="FFFFFF"/>
        <w:right w:val="single" w:sz="4" w:space="4" w:color="FFFFFF"/>
      </w:pBdr>
      <w:spacing w:after="0"/>
    </w:pPr>
  </w:style>
  <w:style w:type="paragraph" w:customStyle="1" w:styleId="TableBody">
    <w:name w:val="TableBody"/>
    <w:basedOn w:val="TableHead"/>
    <w:rsid w:val="00B97F5E"/>
  </w:style>
  <w:style w:type="paragraph" w:customStyle="1" w:styleId="TableFoot">
    <w:name w:val="TableFoot"/>
    <w:basedOn w:val="TableBody"/>
    <w:rsid w:val="00B97F5E"/>
    <w:pPr>
      <w:spacing w:before="60" w:after="60"/>
    </w:pPr>
  </w:style>
  <w:style w:type="paragraph" w:customStyle="1" w:styleId="SchemeCaption">
    <w:name w:val="SchemeCaption"/>
    <w:basedOn w:val="Standard"/>
    <w:rsid w:val="00B97F5E"/>
    <w:pPr>
      <w:spacing w:before="230" w:after="460" w:line="190" w:lineRule="exact"/>
      <w:jc w:val="both"/>
    </w:pPr>
    <w:rPr>
      <w:rFonts w:ascii="Arial" w:hAnsi="Arial"/>
      <w:sz w:val="16"/>
      <w:szCs w:val="14"/>
      <w:lang w:val="en-GB"/>
    </w:rPr>
  </w:style>
  <w:style w:type="paragraph" w:styleId="Funotentext">
    <w:name w:val="footnote text"/>
    <w:basedOn w:val="Standard"/>
    <w:link w:val="FunotentextZchn"/>
    <w:semiHidden/>
    <w:rsid w:val="00B97F5E"/>
    <w:pPr>
      <w:keepLines/>
      <w:widowControl w:val="0"/>
      <w:jc w:val="both"/>
    </w:pPr>
    <w:rPr>
      <w:rFonts w:eastAsia="Times New Roman"/>
      <w:sz w:val="20"/>
      <w:szCs w:val="20"/>
      <w:lang w:val="en-GB" w:eastAsia="ro-RO"/>
    </w:rPr>
  </w:style>
  <w:style w:type="character" w:customStyle="1" w:styleId="FunotentextZchn">
    <w:name w:val="Fußnotentext Zchn"/>
    <w:basedOn w:val="Absatz-Standardschriftart"/>
    <w:link w:val="Funotentext"/>
    <w:semiHidden/>
    <w:rsid w:val="00B97F5E"/>
    <w:rPr>
      <w:rFonts w:ascii="Times New Roman" w:eastAsia="Times New Roman" w:hAnsi="Times New Roman" w:cs="Times New Roman"/>
      <w:sz w:val="20"/>
      <w:szCs w:val="20"/>
      <w:lang w:eastAsia="ro-RO"/>
    </w:rPr>
  </w:style>
  <w:style w:type="paragraph" w:customStyle="1" w:styleId="STOE">
    <w:name w:val="STOE"/>
    <w:basedOn w:val="Standard"/>
    <w:link w:val="STOEChar1"/>
    <w:rsid w:val="00B97F5E"/>
    <w:pPr>
      <w:widowControl w:val="0"/>
      <w:spacing w:line="236" w:lineRule="exact"/>
      <w:ind w:right="4434"/>
      <w:jc w:val="both"/>
    </w:pPr>
    <w:rPr>
      <w:rFonts w:ascii="Times" w:hAnsi="Times"/>
      <w:sz w:val="18"/>
      <w:szCs w:val="3276"/>
      <w:lang w:val="en-GB" w:eastAsia="de-DE"/>
    </w:rPr>
  </w:style>
  <w:style w:type="character" w:customStyle="1" w:styleId="STOEChar1">
    <w:name w:val="STOE Char1"/>
    <w:link w:val="STOE"/>
    <w:rsid w:val="00B97F5E"/>
    <w:rPr>
      <w:rFonts w:ascii="Times" w:eastAsia="MS Mincho" w:hAnsi="Times" w:cs="Times New Roman"/>
      <w:sz w:val="18"/>
      <w:szCs w:val="3276"/>
      <w:lang w:eastAsia="de-DE"/>
    </w:rPr>
  </w:style>
  <w:style w:type="paragraph" w:styleId="Sprechblasentext">
    <w:name w:val="Balloon Text"/>
    <w:basedOn w:val="Standard"/>
    <w:link w:val="SprechblasentextZchn"/>
    <w:semiHidden/>
    <w:rsid w:val="00B97F5E"/>
    <w:rPr>
      <w:rFonts w:ascii="Tahoma" w:hAnsi="Tahoma" w:cs="Tahoma"/>
      <w:sz w:val="16"/>
      <w:szCs w:val="16"/>
    </w:rPr>
  </w:style>
  <w:style w:type="character" w:customStyle="1" w:styleId="SprechblasentextZchn">
    <w:name w:val="Sprechblasentext Zchn"/>
    <w:basedOn w:val="Absatz-Standardschriftart"/>
    <w:link w:val="Sprechblasentext"/>
    <w:semiHidden/>
    <w:rsid w:val="00B97F5E"/>
    <w:rPr>
      <w:rFonts w:ascii="Tahoma" w:eastAsia="MS Mincho" w:hAnsi="Tahoma" w:cs="Tahoma"/>
      <w:sz w:val="16"/>
      <w:szCs w:val="16"/>
      <w:lang w:val="de-DE" w:eastAsia="ja-JP"/>
    </w:rPr>
  </w:style>
  <w:style w:type="paragraph" w:styleId="Kopfzeile">
    <w:name w:val="header"/>
    <w:basedOn w:val="Standard"/>
    <w:link w:val="KopfzeileZchn"/>
    <w:rsid w:val="00B97F5E"/>
    <w:pPr>
      <w:tabs>
        <w:tab w:val="center" w:pos="4536"/>
        <w:tab w:val="right" w:pos="9072"/>
      </w:tabs>
    </w:pPr>
    <w:rPr>
      <w:lang w:val="x-none"/>
    </w:rPr>
  </w:style>
  <w:style w:type="character" w:customStyle="1" w:styleId="KopfzeileZchn">
    <w:name w:val="Kopfzeile Zchn"/>
    <w:link w:val="Kopfzeile"/>
    <w:rsid w:val="00B97F5E"/>
    <w:rPr>
      <w:rFonts w:ascii="Times New Roman" w:eastAsia="MS Mincho" w:hAnsi="Times New Roman" w:cs="Times New Roman"/>
      <w:sz w:val="24"/>
      <w:szCs w:val="24"/>
      <w:lang w:val="x-none" w:eastAsia="ja-JP"/>
    </w:rPr>
  </w:style>
  <w:style w:type="paragraph" w:styleId="Fuzeile">
    <w:name w:val="footer"/>
    <w:basedOn w:val="Standard"/>
    <w:link w:val="FuzeileZchn"/>
    <w:uiPriority w:val="99"/>
    <w:rsid w:val="00B97F5E"/>
    <w:pPr>
      <w:tabs>
        <w:tab w:val="center" w:pos="4536"/>
        <w:tab w:val="right" w:pos="9072"/>
      </w:tabs>
    </w:pPr>
  </w:style>
  <w:style w:type="character" w:customStyle="1" w:styleId="FuzeileZchn">
    <w:name w:val="Fußzeile Zchn"/>
    <w:link w:val="Fuzeile"/>
    <w:uiPriority w:val="99"/>
    <w:rsid w:val="00B97F5E"/>
    <w:rPr>
      <w:rFonts w:ascii="Times New Roman" w:eastAsia="MS Mincho" w:hAnsi="Times New Roman" w:cs="Times New Roman"/>
      <w:sz w:val="24"/>
      <w:szCs w:val="24"/>
      <w:lang w:val="de-DE" w:eastAsia="ja-JP"/>
    </w:rPr>
  </w:style>
  <w:style w:type="paragraph" w:customStyle="1" w:styleId="Title1">
    <w:name w:val="Title1"/>
    <w:basedOn w:val="Standard"/>
    <w:rsid w:val="00B97F5E"/>
    <w:rPr>
      <w:b/>
      <w:lang w:val="en-US"/>
    </w:rPr>
  </w:style>
  <w:style w:type="paragraph" w:customStyle="1" w:styleId="AuthorsFull">
    <w:name w:val="Authors Full"/>
    <w:basedOn w:val="Standard"/>
    <w:rsid w:val="00B97F5E"/>
    <w:rPr>
      <w:i/>
      <w:lang w:val="en-US"/>
    </w:rPr>
  </w:style>
  <w:style w:type="paragraph" w:customStyle="1" w:styleId="dedication">
    <w:name w:val="dedication"/>
    <w:basedOn w:val="Standard"/>
    <w:rsid w:val="00B97F5E"/>
    <w:rPr>
      <w:i/>
      <w:lang w:val="en-US"/>
    </w:rPr>
  </w:style>
  <w:style w:type="paragraph" w:customStyle="1" w:styleId="Addresses">
    <w:name w:val="Addresses"/>
    <w:basedOn w:val="Standard"/>
    <w:rsid w:val="00B97F5E"/>
    <w:rPr>
      <w:lang w:val="en-US"/>
    </w:rPr>
  </w:style>
  <w:style w:type="paragraph" w:customStyle="1" w:styleId="Acknowledgements">
    <w:name w:val="Acknowledgements"/>
    <w:basedOn w:val="Standard"/>
    <w:rsid w:val="00B97F5E"/>
    <w:rPr>
      <w:lang w:val="en-US"/>
    </w:rPr>
  </w:style>
  <w:style w:type="paragraph" w:customStyle="1" w:styleId="Abstract">
    <w:name w:val="Abstract"/>
    <w:basedOn w:val="Standard"/>
    <w:autoRedefine/>
    <w:rsid w:val="00B97F5E"/>
    <w:pPr>
      <w:spacing w:line="360" w:lineRule="auto"/>
      <w:jc w:val="both"/>
    </w:pPr>
    <w:rPr>
      <w:lang w:val="en-US"/>
    </w:rPr>
  </w:style>
  <w:style w:type="paragraph" w:customStyle="1" w:styleId="Head1">
    <w:name w:val="Head 1"/>
    <w:basedOn w:val="Standard"/>
    <w:autoRedefine/>
    <w:rsid w:val="00B97F5E"/>
    <w:pPr>
      <w:spacing w:line="360" w:lineRule="auto"/>
      <w:jc w:val="both"/>
    </w:pPr>
    <w:rPr>
      <w:lang w:val="en-US" w:eastAsia="en-US"/>
    </w:rPr>
  </w:style>
  <w:style w:type="paragraph" w:customStyle="1" w:styleId="Head2">
    <w:name w:val="Head 2"/>
    <w:basedOn w:val="Standard"/>
    <w:autoRedefine/>
    <w:rsid w:val="00B97F5E"/>
    <w:pPr>
      <w:spacing w:line="360" w:lineRule="auto"/>
    </w:pPr>
    <w:rPr>
      <w:i/>
      <w:lang w:val="en-US"/>
    </w:rPr>
  </w:style>
  <w:style w:type="paragraph" w:customStyle="1" w:styleId="dates">
    <w:name w:val="dates"/>
    <w:basedOn w:val="Standard"/>
    <w:rsid w:val="00B97F5E"/>
    <w:pPr>
      <w:jc w:val="right"/>
    </w:pPr>
    <w:rPr>
      <w:lang w:val="en-US"/>
    </w:rPr>
  </w:style>
  <w:style w:type="paragraph" w:customStyle="1" w:styleId="Literature">
    <w:name w:val="Literature"/>
    <w:basedOn w:val="Standard"/>
    <w:rsid w:val="00B97F5E"/>
    <w:pPr>
      <w:spacing w:line="480" w:lineRule="auto"/>
    </w:pPr>
  </w:style>
  <w:style w:type="paragraph" w:customStyle="1" w:styleId="Legend">
    <w:name w:val="Legend"/>
    <w:basedOn w:val="Standard"/>
    <w:rsid w:val="00B97F5E"/>
    <w:rPr>
      <w:lang w:val="en-US"/>
    </w:rPr>
  </w:style>
  <w:style w:type="paragraph" w:customStyle="1" w:styleId="MainText">
    <w:name w:val="Main Text"/>
    <w:basedOn w:val="Standard"/>
    <w:link w:val="MainTextChar"/>
    <w:rsid w:val="00B97F5E"/>
    <w:pPr>
      <w:spacing w:line="480" w:lineRule="auto"/>
    </w:pPr>
    <w:rPr>
      <w:lang w:val="en-US"/>
    </w:rPr>
  </w:style>
  <w:style w:type="paragraph" w:customStyle="1" w:styleId="Tableofcontents">
    <w:name w:val="Table of contents"/>
    <w:basedOn w:val="Standard"/>
    <w:autoRedefine/>
    <w:rsid w:val="00B97F5E"/>
    <w:rPr>
      <w:lang w:val="en-US"/>
    </w:rPr>
  </w:style>
  <w:style w:type="paragraph" w:customStyle="1" w:styleId="ExperimentalText">
    <w:name w:val="Experimental Text"/>
    <w:basedOn w:val="Standard"/>
    <w:link w:val="ExperimentalTextChar"/>
    <w:rsid w:val="00B97F5E"/>
    <w:pPr>
      <w:spacing w:line="480" w:lineRule="auto"/>
    </w:pPr>
    <w:rPr>
      <w:lang w:val="en-US"/>
    </w:rPr>
  </w:style>
  <w:style w:type="character" w:customStyle="1" w:styleId="ExperimentalTextChar">
    <w:name w:val="Experimental Text Char"/>
    <w:link w:val="ExperimentalText"/>
    <w:rsid w:val="00B97F5E"/>
    <w:rPr>
      <w:rFonts w:ascii="Times New Roman" w:eastAsia="MS Mincho" w:hAnsi="Times New Roman" w:cs="Times New Roman"/>
      <w:sz w:val="24"/>
      <w:szCs w:val="24"/>
      <w:lang w:val="en-US" w:eastAsia="ja-JP"/>
    </w:rPr>
  </w:style>
  <w:style w:type="character" w:customStyle="1" w:styleId="MainTextChar">
    <w:name w:val="Main Text Char"/>
    <w:link w:val="MainText"/>
    <w:rsid w:val="00B97F5E"/>
    <w:rPr>
      <w:rFonts w:ascii="Times New Roman" w:eastAsia="MS Mincho" w:hAnsi="Times New Roman" w:cs="Times New Roman"/>
      <w:sz w:val="24"/>
      <w:szCs w:val="24"/>
      <w:lang w:val="en-US" w:eastAsia="ja-JP"/>
    </w:rPr>
  </w:style>
  <w:style w:type="paragraph" w:customStyle="1" w:styleId="Title2">
    <w:name w:val="Title2"/>
    <w:basedOn w:val="Standard"/>
    <w:rsid w:val="00B97F5E"/>
    <w:rPr>
      <w:b/>
      <w:lang w:val="en-US"/>
    </w:rPr>
  </w:style>
  <w:style w:type="paragraph" w:customStyle="1" w:styleId="Dedication0">
    <w:name w:val="Dedication"/>
    <w:basedOn w:val="Standard"/>
    <w:autoRedefine/>
    <w:rsid w:val="00B97F5E"/>
    <w:rPr>
      <w:lang w:val="en-US"/>
    </w:rPr>
  </w:style>
  <w:style w:type="paragraph" w:customStyle="1" w:styleId="Maintext0">
    <w:name w:val="Main text"/>
    <w:basedOn w:val="Standard"/>
    <w:link w:val="MaintextChar0"/>
    <w:autoRedefine/>
    <w:rsid w:val="00B97F5E"/>
    <w:pPr>
      <w:spacing w:line="480" w:lineRule="auto"/>
    </w:pPr>
    <w:rPr>
      <w:lang w:val="en-US"/>
    </w:rPr>
  </w:style>
  <w:style w:type="character" w:customStyle="1" w:styleId="MaintextChar0">
    <w:name w:val="Main text Char"/>
    <w:link w:val="Maintext0"/>
    <w:rsid w:val="00B97F5E"/>
    <w:rPr>
      <w:rFonts w:ascii="Times New Roman" w:eastAsia="MS Mincho" w:hAnsi="Times New Roman" w:cs="Times New Roman"/>
      <w:sz w:val="24"/>
      <w:szCs w:val="24"/>
      <w:lang w:val="en-US" w:eastAsia="ja-JP"/>
    </w:rPr>
  </w:style>
  <w:style w:type="paragraph" w:customStyle="1" w:styleId="Biography">
    <w:name w:val="Biography"/>
    <w:basedOn w:val="Standard"/>
    <w:autoRedefine/>
    <w:rsid w:val="00B97F5E"/>
    <w:rPr>
      <w:i/>
      <w:lang w:val="en-US"/>
    </w:rPr>
  </w:style>
  <w:style w:type="character" w:styleId="Kommentarzeichen">
    <w:name w:val="annotation reference"/>
    <w:unhideWhenUsed/>
    <w:rsid w:val="00B97F5E"/>
    <w:rPr>
      <w:sz w:val="16"/>
      <w:szCs w:val="16"/>
    </w:rPr>
  </w:style>
  <w:style w:type="paragraph" w:styleId="Kommentartext">
    <w:name w:val="annotation text"/>
    <w:basedOn w:val="Standard"/>
    <w:link w:val="KommentartextZchn"/>
    <w:unhideWhenUsed/>
    <w:rsid w:val="00B97F5E"/>
    <w:rPr>
      <w:sz w:val="20"/>
      <w:szCs w:val="20"/>
      <w:lang w:val="x-none"/>
    </w:rPr>
  </w:style>
  <w:style w:type="character" w:customStyle="1" w:styleId="KommentartextZchn">
    <w:name w:val="Kommentartext Zchn"/>
    <w:link w:val="Kommentartext"/>
    <w:rsid w:val="00B97F5E"/>
    <w:rPr>
      <w:rFonts w:ascii="Times New Roman" w:eastAsia="MS Mincho" w:hAnsi="Times New Roman" w:cs="Times New Roman"/>
      <w:sz w:val="20"/>
      <w:szCs w:val="20"/>
      <w:lang w:val="x-none" w:eastAsia="ja-JP"/>
    </w:rPr>
  </w:style>
  <w:style w:type="paragraph" w:styleId="Kommentarthema">
    <w:name w:val="annotation subject"/>
    <w:basedOn w:val="Kommentartext"/>
    <w:next w:val="Kommentartext"/>
    <w:link w:val="KommentarthemaZchn"/>
    <w:uiPriority w:val="99"/>
    <w:semiHidden/>
    <w:unhideWhenUsed/>
    <w:rsid w:val="00B97F5E"/>
    <w:rPr>
      <w:b/>
      <w:bCs/>
    </w:rPr>
  </w:style>
  <w:style w:type="character" w:customStyle="1" w:styleId="KommentarthemaZchn">
    <w:name w:val="Kommentarthema Zchn"/>
    <w:link w:val="Kommentarthema"/>
    <w:uiPriority w:val="99"/>
    <w:semiHidden/>
    <w:rsid w:val="00B97F5E"/>
    <w:rPr>
      <w:rFonts w:ascii="Times New Roman" w:eastAsia="MS Mincho" w:hAnsi="Times New Roman" w:cs="Times New Roman"/>
      <w:b/>
      <w:bCs/>
      <w:sz w:val="20"/>
      <w:szCs w:val="20"/>
      <w:lang w:val="x-none" w:eastAsia="ja-JP"/>
    </w:rPr>
  </w:style>
  <w:style w:type="paragraph" w:styleId="Beschriftung">
    <w:name w:val="caption"/>
    <w:basedOn w:val="Standard"/>
    <w:next w:val="Standard"/>
    <w:uiPriority w:val="35"/>
    <w:unhideWhenUsed/>
    <w:qFormat/>
    <w:rsid w:val="00B97F5E"/>
    <w:pPr>
      <w:spacing w:after="200"/>
    </w:pPr>
    <w:rPr>
      <w:rFonts w:eastAsia="Times New Roman"/>
      <w:i/>
      <w:iCs/>
      <w:color w:val="44546A" w:themeColor="text2"/>
      <w:sz w:val="18"/>
      <w:szCs w:val="18"/>
      <w:lang w:val="en-US" w:eastAsia="en-US"/>
    </w:rPr>
  </w:style>
  <w:style w:type="character" w:styleId="Hyperlink">
    <w:name w:val="Hyperlink"/>
    <w:basedOn w:val="Absatz-Standardschriftart"/>
    <w:uiPriority w:val="99"/>
    <w:unhideWhenUsed/>
    <w:rsid w:val="00B97F5E"/>
    <w:rPr>
      <w:color w:val="0563C1" w:themeColor="hyperlink"/>
      <w:u w:val="single"/>
    </w:rPr>
  </w:style>
  <w:style w:type="character" w:customStyle="1" w:styleId="NichtaufgelsteErwhnung1">
    <w:name w:val="Nicht aufgelöste Erwähnung1"/>
    <w:basedOn w:val="Absatz-Standardschriftart"/>
    <w:uiPriority w:val="99"/>
    <w:semiHidden/>
    <w:unhideWhenUsed/>
    <w:rsid w:val="00B97F5E"/>
    <w:rPr>
      <w:color w:val="605E5C"/>
      <w:shd w:val="clear" w:color="auto" w:fill="E1DFDD"/>
    </w:rPr>
  </w:style>
  <w:style w:type="paragraph" w:customStyle="1" w:styleId="EndNoteBibliographyTitle">
    <w:name w:val="EndNote Bibliography Title"/>
    <w:basedOn w:val="Standard"/>
    <w:link w:val="EndNoteBibliographyTitleZchn"/>
    <w:rsid w:val="00B97F5E"/>
    <w:pPr>
      <w:jc w:val="center"/>
    </w:pPr>
    <w:rPr>
      <w:noProof/>
    </w:rPr>
  </w:style>
  <w:style w:type="character" w:customStyle="1" w:styleId="EndNoteBibliographyTitleZchn">
    <w:name w:val="EndNote Bibliography Title Zchn"/>
    <w:basedOn w:val="Absatz-Standardschriftart"/>
    <w:link w:val="EndNoteBibliographyTitle"/>
    <w:rsid w:val="00B97F5E"/>
    <w:rPr>
      <w:rFonts w:ascii="Times New Roman" w:eastAsia="MS Mincho" w:hAnsi="Times New Roman" w:cs="Times New Roman"/>
      <w:noProof/>
      <w:sz w:val="24"/>
      <w:szCs w:val="24"/>
      <w:lang w:val="de-DE" w:eastAsia="ja-JP"/>
    </w:rPr>
  </w:style>
  <w:style w:type="paragraph" w:customStyle="1" w:styleId="EndNoteBibliography">
    <w:name w:val="EndNote Bibliography"/>
    <w:basedOn w:val="Standard"/>
    <w:link w:val="EndNoteBibliographyZchn"/>
    <w:rsid w:val="00B97F5E"/>
    <w:pPr>
      <w:jc w:val="both"/>
    </w:pPr>
    <w:rPr>
      <w:noProof/>
    </w:rPr>
  </w:style>
  <w:style w:type="character" w:customStyle="1" w:styleId="EndNoteBibliographyZchn">
    <w:name w:val="EndNote Bibliography Zchn"/>
    <w:basedOn w:val="Absatz-Standardschriftart"/>
    <w:link w:val="EndNoteBibliography"/>
    <w:rsid w:val="00B97F5E"/>
    <w:rPr>
      <w:rFonts w:ascii="Times New Roman" w:eastAsia="MS Mincho" w:hAnsi="Times New Roman" w:cs="Times New Roman"/>
      <w:noProof/>
      <w:sz w:val="24"/>
      <w:szCs w:val="24"/>
      <w:lang w:val="de-DE" w:eastAsia="ja-JP"/>
    </w:rPr>
  </w:style>
  <w:style w:type="character" w:customStyle="1" w:styleId="UnresolvedMention">
    <w:name w:val="Unresolved Mention"/>
    <w:basedOn w:val="Absatz-Standardschriftart"/>
    <w:uiPriority w:val="99"/>
    <w:semiHidden/>
    <w:unhideWhenUsed/>
    <w:rsid w:val="00B97F5E"/>
    <w:rPr>
      <w:color w:val="605E5C"/>
      <w:shd w:val="clear" w:color="auto" w:fill="E1DFDD"/>
    </w:rPr>
  </w:style>
  <w:style w:type="character" w:styleId="Zeilennummer">
    <w:name w:val="line number"/>
    <w:basedOn w:val="Absatz-Standardschriftart"/>
    <w:uiPriority w:val="99"/>
    <w:semiHidden/>
    <w:unhideWhenUsed/>
    <w:rsid w:val="00B97F5E"/>
  </w:style>
  <w:style w:type="paragraph" w:styleId="berarbeitung">
    <w:name w:val="Revision"/>
    <w:hidden/>
    <w:uiPriority w:val="99"/>
    <w:semiHidden/>
    <w:rsid w:val="00B97F5E"/>
    <w:pPr>
      <w:spacing w:after="0" w:line="240" w:lineRule="auto"/>
    </w:pPr>
    <w:rPr>
      <w:rFonts w:ascii="Times New Roman" w:eastAsia="MS Mincho" w:hAnsi="Times New Roman" w:cs="Times New Roman"/>
      <w:sz w:val="24"/>
      <w:szCs w:val="24"/>
      <w:lang w:val="de-DE" w:eastAsia="ja-JP"/>
    </w:rPr>
  </w:style>
  <w:style w:type="paragraph" w:styleId="StandardWeb">
    <w:name w:val="Normal (Web)"/>
    <w:basedOn w:val="Standard"/>
    <w:uiPriority w:val="99"/>
    <w:unhideWhenUsed/>
    <w:rsid w:val="00B97F5E"/>
    <w:pPr>
      <w:spacing w:before="100" w:beforeAutospacing="1" w:after="100" w:afterAutospacing="1"/>
    </w:pPr>
    <w:rPr>
      <w:rFonts w:eastAsia="Times New Roman"/>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4595</Words>
  <Characters>28950</Characters>
  <Application>Microsoft Office Word</Application>
  <DocSecurity>0</DocSecurity>
  <Lines>241</Lines>
  <Paragraphs>66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Eberst, Alexander</dc:creator>
  <cp:keywords/>
  <dc:description/>
  <cp:lastModifiedBy>Heike Lexis</cp:lastModifiedBy>
  <cp:revision>2</cp:revision>
  <dcterms:created xsi:type="dcterms:W3CDTF">2022-10-26T09:00:00Z</dcterms:created>
  <dcterms:modified xsi:type="dcterms:W3CDTF">2022-10-26T09:00:00Z</dcterms:modified>
</cp:coreProperties>
</file>